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val="en-US" w:eastAsia="zh-CN" w:bidi="ar"/>
        </w:rPr>
        <w:t>私设“景点”问题专项整治工作方案</w:t>
      </w:r>
    </w:p>
    <w:p>
      <w:pPr>
        <w:pStyle w:val="2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720" w:firstLineChars="200"/>
        <w:textAlignment w:val="auto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近期，一些地方未经相关部门许可的私设“景点”，违规为游客提供游览服务、违规开展旅游经营活动，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人民群众反映强烈。为进一步规范旅游市场秩序、保护生态环境、维护游客权益，文化和旅游部定于2022年9月至11月开展私设“景点”问题专项整治工作，特制定本工作方案。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200" w:firstLine="360" w:firstLineChars="100"/>
        <w:textAlignment w:val="auto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一、总体要求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720" w:firstLineChars="200"/>
        <w:textAlignment w:val="auto"/>
        <w:rPr>
          <w:rFonts w:hint="default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以习近平新时代中国特色社会主义思想为指导，立足新发展阶段、贯彻新发展理念、构建新发展格局，牢固树立“绿水青山就是金山银山”理念，坚持目标导向、问题导向，坚持远近结合、标本兼治，坚持依法治理、综合治理，坚决开展私设“景点”清理整治，构建长效工作机制，规范旅游市场秩序，促进旅游业高质量发展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720" w:firstLineChars="200"/>
        <w:textAlignment w:val="auto"/>
        <w:rPr>
          <w:rFonts w:hint="eastAsia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二、整治范围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720" w:firstLineChars="200"/>
        <w:textAlignment w:val="auto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私设“景点”整治的对象为未经相关部门许可，在一定的场所或区域，违规为游客提供游览服务、违规开展旅游经营活动的行为，主要包括：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720" w:firstLineChars="200"/>
        <w:textAlignment w:val="auto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无照经营，扰乱旅游市场秩序的；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720" w:firstLineChars="200"/>
        <w:textAlignment w:val="auto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（二）未经许可，擅自收取门票费用的；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720" w:firstLineChars="200"/>
        <w:textAlignment w:val="auto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（三）私自建设旅游设施，破坏生态环境的；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720" w:firstLineChars="200"/>
        <w:textAlignment w:val="auto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（四）无证经营高风险旅游项目，存在旅游安全隐患的；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720" w:firstLineChars="200"/>
        <w:textAlignment w:val="auto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（五）虚假宣传、欺客宰客，损害游客合法权益的；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720" w:firstLineChars="200"/>
        <w:textAlignment w:val="auto"/>
        <w:rPr>
          <w:rFonts w:hint="eastAsia"/>
          <w:color w:val="auto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6"/>
          <w:szCs w:val="36"/>
          <w:lang w:val="en-US" w:eastAsia="zh-CN"/>
        </w:rPr>
        <w:t>（六）私自改变土地用途，开展旅游经营的；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720" w:firstLineChars="200"/>
        <w:textAlignment w:val="auto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6"/>
          <w:szCs w:val="36"/>
          <w:lang w:val="en-US" w:eastAsia="zh-CN"/>
        </w:rPr>
        <w:t>（七）其他违规提供旅游服务的。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420" w:leftChars="200" w:firstLine="360" w:firstLineChars="100"/>
        <w:textAlignment w:val="auto"/>
        <w:rPr>
          <w:rFonts w:hint="eastAsia" w:ascii="楷体" w:hAnsi="楷体" w:eastAsia="楷体" w:cs="楷体"/>
          <w:b/>
          <w:bCs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三、工作任务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720" w:firstLineChars="200"/>
        <w:textAlignment w:val="auto"/>
        <w:rPr>
          <w:rFonts w:hint="default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6"/>
          <w:szCs w:val="36"/>
          <w:lang w:val="en-US" w:eastAsia="zh-CN"/>
        </w:rPr>
        <w:t>（一）全面排查摸底。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各地要对照整治范围，对辖区内私设“景点”问题进行全面排查，</w:t>
      </w:r>
      <w:r>
        <w:rPr>
          <w:rFonts w:hint="eastAsia" w:ascii="仿宋_GB2312" w:hAnsi="仿宋_GB2312" w:eastAsia="仿宋_GB2312" w:cs="仿宋_GB2312"/>
          <w:b w:val="0"/>
          <w:bCs w:val="0"/>
          <w:sz w:val="36"/>
          <w:szCs w:val="36"/>
          <w:lang w:val="en-US" w:eastAsia="zh-CN"/>
        </w:rPr>
        <w:t>做到底数摸清、情况摸准、问题摸透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。9月12日前，召开专题会议进行部署，立即开展行动。9月20日前，排查辖区内私设“景点”问题，建立台账。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720" w:firstLineChars="200"/>
        <w:textAlignment w:val="auto"/>
        <w:rPr>
          <w:rFonts w:hint="default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6"/>
          <w:szCs w:val="36"/>
          <w:lang w:val="en-US" w:eastAsia="zh-CN"/>
        </w:rPr>
        <w:t>（二）开展清理整治。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根据排查摸底结果，立即依法依规开展整改。加强分类指导，该取缔的坚决取缔；</w:t>
      </w:r>
      <w:r>
        <w:rPr>
          <w:rFonts w:hint="default" w:ascii="仿宋_GB2312" w:hAnsi="仿宋_GB2312" w:eastAsia="仿宋_GB2312" w:cs="仿宋_GB2312"/>
          <w:sz w:val="36"/>
          <w:szCs w:val="36"/>
          <w:lang w:val="en" w:eastAsia="zh-CN"/>
        </w:rPr>
        <w:t>能够即时整改的，立即整改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到位</w:t>
      </w:r>
      <w:r>
        <w:rPr>
          <w:rFonts w:hint="default" w:ascii="仿宋_GB2312" w:hAnsi="仿宋_GB2312" w:eastAsia="仿宋_GB2312" w:cs="仿宋_GB2312"/>
          <w:sz w:val="36"/>
          <w:szCs w:val="36"/>
          <w:lang w:val="en" w:eastAsia="zh-CN"/>
        </w:rPr>
        <w:t>；对于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一时难以解决的，要明确</w:t>
      </w:r>
      <w:r>
        <w:rPr>
          <w:rFonts w:hint="default" w:ascii="仿宋_GB2312" w:hAnsi="仿宋_GB2312" w:eastAsia="仿宋_GB2312" w:cs="仿宋_GB2312"/>
          <w:sz w:val="36"/>
          <w:szCs w:val="36"/>
          <w:lang w:val="en" w:eastAsia="zh-CN"/>
        </w:rPr>
        <w:t>整改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时限</w:t>
      </w:r>
      <w:r>
        <w:rPr>
          <w:rFonts w:hint="eastAsia" w:ascii="仿宋_GB2312" w:hAnsi="仿宋_GB2312" w:eastAsia="仿宋_GB2312" w:cs="仿宋_GB2312"/>
          <w:sz w:val="36"/>
          <w:szCs w:val="36"/>
          <w:lang w:val="en" w:eastAsia="zh-CN"/>
        </w:rPr>
        <w:t>，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制定</w:t>
      </w:r>
      <w:r>
        <w:rPr>
          <w:rFonts w:hint="default" w:ascii="仿宋_GB2312" w:hAnsi="仿宋_GB2312" w:eastAsia="仿宋_GB2312" w:cs="仿宋_GB2312"/>
          <w:sz w:val="36"/>
          <w:szCs w:val="36"/>
          <w:lang w:val="en" w:eastAsia="zh-CN"/>
        </w:rPr>
        <w:t>整改</w:t>
      </w:r>
      <w:r>
        <w:rPr>
          <w:rFonts w:hint="eastAsia" w:ascii="仿宋_GB2312" w:hAnsi="仿宋_GB2312" w:eastAsia="仿宋_GB2312" w:cs="仿宋_GB2312"/>
          <w:sz w:val="36"/>
          <w:szCs w:val="36"/>
          <w:lang w:val="en" w:eastAsia="zh-CN"/>
        </w:rPr>
        <w:t>措施，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落实</w:t>
      </w:r>
      <w:r>
        <w:rPr>
          <w:rFonts w:hint="default" w:ascii="仿宋_GB2312" w:hAnsi="仿宋_GB2312" w:eastAsia="仿宋_GB2312" w:cs="仿宋_GB2312"/>
          <w:sz w:val="36"/>
          <w:szCs w:val="36"/>
          <w:lang w:val="en" w:eastAsia="zh-CN"/>
        </w:rPr>
        <w:t>责任单位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和</w:t>
      </w:r>
      <w:r>
        <w:rPr>
          <w:rFonts w:hint="default" w:ascii="仿宋_GB2312" w:hAnsi="仿宋_GB2312" w:eastAsia="仿宋_GB2312" w:cs="仿宋_GB2312"/>
          <w:sz w:val="36"/>
          <w:szCs w:val="36"/>
          <w:lang w:val="en" w:eastAsia="zh-CN"/>
        </w:rPr>
        <w:t>责任人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，办结一个、销号一个。10月31日前，根据排查情况立行立改，坚决进行清理整治。11月30日前，开展督促检查。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720" w:firstLineChars="200"/>
        <w:textAlignment w:val="auto"/>
        <w:rPr>
          <w:rFonts w:hint="default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6"/>
          <w:szCs w:val="36"/>
          <w:lang w:val="en-US" w:eastAsia="zh-CN"/>
        </w:rPr>
        <w:t>（三）严格执法惩处。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各地文化和旅游行政部门、文化市场综合执法机构要联合自然资源、生态环境、市场监管等相关部门，落实执法责任，依照《无证无照经营查处办法》等相关法律法规从严查处。旅行社、在线旅游企业等旅游经营者</w:t>
      </w:r>
      <w:r>
        <w:rPr>
          <w:rFonts w:hint="default" w:ascii="仿宋_GB2312" w:hAnsi="仿宋_GB2312" w:eastAsia="仿宋_GB2312" w:cs="仿宋_GB2312"/>
          <w:sz w:val="36"/>
          <w:szCs w:val="36"/>
          <w:lang w:val="en" w:eastAsia="zh-CN"/>
        </w:rPr>
        <w:t>不得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将私设“景点”作为旅游产品予以销售或推荐。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720" w:firstLineChars="200"/>
        <w:textAlignment w:val="auto"/>
        <w:rPr>
          <w:rFonts w:hint="eastAsia" w:ascii="仿宋_GB2312" w:hAnsi="仿宋_GB2312" w:eastAsia="仿宋_GB2312" w:cs="仿宋_GB2312"/>
          <w:sz w:val="36"/>
          <w:szCs w:val="36"/>
          <w:lang w:val="en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6"/>
          <w:szCs w:val="36"/>
          <w:lang w:val="en-US" w:eastAsia="zh-CN"/>
        </w:rPr>
        <w:t>（四）加强督促检查。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各地要对专项整治工作逐级开展检查，确保整治工作各项要求落到实处。文化和旅游部将专项</w:t>
      </w:r>
      <w:r>
        <w:rPr>
          <w:rFonts w:hint="default" w:ascii="仿宋_GB2312" w:hAnsi="仿宋_GB2312" w:eastAsia="仿宋_GB2312" w:cs="仿宋_GB2312"/>
          <w:sz w:val="36"/>
          <w:szCs w:val="36"/>
          <w:lang w:val="en" w:eastAsia="zh-CN"/>
        </w:rPr>
        <w:t>整治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工作纳入省级人民政府质量考核</w:t>
      </w:r>
      <w:r>
        <w:rPr>
          <w:rFonts w:hint="default" w:ascii="仿宋_GB2312" w:hAnsi="仿宋_GB2312" w:eastAsia="仿宋_GB2312" w:cs="仿宋_GB2312"/>
          <w:sz w:val="36"/>
          <w:szCs w:val="36"/>
          <w:lang w:val="en" w:eastAsia="zh-CN"/>
        </w:rPr>
        <w:t>（旅游领域）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内容，对工作有力、成效突出的予以表扬，对工作不力、问题突出的</w:t>
      </w:r>
      <w:r>
        <w:rPr>
          <w:rFonts w:hint="default" w:ascii="仿宋_GB2312" w:hAnsi="仿宋_GB2312" w:eastAsia="仿宋_GB2312" w:cs="仿宋_GB2312"/>
          <w:sz w:val="36"/>
          <w:szCs w:val="36"/>
          <w:lang w:val="en" w:eastAsia="zh-CN"/>
        </w:rPr>
        <w:t>，予以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约谈</w:t>
      </w:r>
      <w:r>
        <w:rPr>
          <w:rFonts w:hint="eastAsia" w:ascii="仿宋_GB2312" w:hAnsi="仿宋_GB2312" w:eastAsia="仿宋_GB2312" w:cs="仿宋_GB2312"/>
          <w:sz w:val="36"/>
          <w:szCs w:val="36"/>
          <w:lang w:val="en" w:eastAsia="zh-CN"/>
        </w:rPr>
        <w:t>、</w:t>
      </w:r>
      <w:r>
        <w:rPr>
          <w:rFonts w:hint="default" w:ascii="仿宋_GB2312" w:hAnsi="仿宋_GB2312" w:eastAsia="仿宋_GB2312" w:cs="仿宋_GB2312"/>
          <w:sz w:val="36"/>
          <w:szCs w:val="36"/>
          <w:lang w:val="en" w:eastAsia="zh-CN"/>
        </w:rPr>
        <w:t>通报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批评</w:t>
      </w:r>
      <w:r>
        <w:rPr>
          <w:rFonts w:hint="eastAsia" w:ascii="仿宋_GB2312" w:hAnsi="仿宋_GB2312" w:eastAsia="仿宋_GB2312" w:cs="仿宋_GB2312"/>
          <w:sz w:val="36"/>
          <w:szCs w:val="36"/>
          <w:lang w:val="en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720" w:firstLineChars="200"/>
        <w:textAlignment w:val="auto"/>
        <w:rPr>
          <w:rFonts w:hint="default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6"/>
          <w:szCs w:val="36"/>
          <w:lang w:val="en-US" w:eastAsia="zh-CN"/>
        </w:rPr>
        <w:t>（五）建立长效机制。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各地要以专项整治为契机，深入研究私设“景点”问题成因，理清政府、市场、当地群众等各方关系，逐步实现共建共治共享。要理顺管理体制，厘清部门职责，优化规划设计，合理布局乡村旅游点位，完善旅游基础设施，加强日常联合监管，坚决防止问题反弹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720" w:firstLineChars="200"/>
        <w:textAlignment w:val="auto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四、工作要求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94" w:firstLineChars="193"/>
        <w:textAlignment w:val="auto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楷体_GB2312" w:hAnsi="楷体_GB2312" w:eastAsia="楷体_GB2312" w:cs="楷体_GB2312"/>
          <w:sz w:val="36"/>
          <w:szCs w:val="36"/>
          <w:lang w:val="en-US" w:eastAsia="zh-CN"/>
        </w:rPr>
        <w:t>（一）提高政治站位，加强组织领导。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各地文化和旅游行政部门要高度重视，充分认识专项整治工作的重要性和紧迫性。在党委政府的领导下，成立跨部门工作专班，将专项整治列为年度工作重点，认真研究制定具体工作方案。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720" w:firstLineChars="200"/>
        <w:textAlignment w:val="auto"/>
        <w:rPr>
          <w:rFonts w:hint="default"/>
          <w:lang w:val="en-US" w:eastAsia="zh-CN"/>
        </w:rPr>
      </w:pPr>
      <w:r>
        <w:rPr>
          <w:rFonts w:hint="eastAsia" w:ascii="楷体_GB2312" w:hAnsi="楷体_GB2312" w:eastAsia="楷体_GB2312" w:cs="楷体_GB2312"/>
          <w:sz w:val="36"/>
          <w:szCs w:val="36"/>
          <w:lang w:val="en-US" w:eastAsia="zh-CN"/>
        </w:rPr>
        <w:t>（二）压实各方责任，依法稳妥推进。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专项整治工作由文化和旅游部牵头负责，省级统筹推进，市县抓具体落实。要建立问题清单，确保有据可查、有责可追。整治工作要充分考虑群众利益，防止出现新问题。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720" w:firstLineChars="200"/>
        <w:textAlignment w:val="auto"/>
        <w:rPr>
          <w:rFonts w:hint="default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楷体_GB2312" w:hAnsi="楷体_GB2312" w:eastAsia="楷体_GB2312" w:cs="楷体_GB2312"/>
          <w:sz w:val="36"/>
          <w:szCs w:val="36"/>
          <w:lang w:val="en-US" w:eastAsia="zh-CN"/>
        </w:rPr>
        <w:t>（三）强化工作统筹，推进部门协同。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各地文化和旅游行政部门要联合</w:t>
      </w:r>
      <w:r>
        <w:rPr>
          <w:rFonts w:hint="eastAsia" w:ascii="仿宋_GB2312" w:hAnsi="仿宋_GB2312" w:eastAsia="仿宋_GB2312" w:cs="仿宋_GB2312"/>
          <w:color w:val="auto"/>
          <w:sz w:val="36"/>
          <w:szCs w:val="36"/>
          <w:lang w:val="en-US" w:eastAsia="zh-CN"/>
        </w:rPr>
        <w:t>自然资源、生态环境、市场监管等相关部门，建立健全常态化监管机制，加强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信息共享、协调配合，形成工作合力。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94" w:firstLineChars="193"/>
        <w:textAlignment w:val="auto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楷体" w:hAnsi="楷体" w:eastAsia="楷体" w:cs="楷体"/>
          <w:sz w:val="36"/>
          <w:szCs w:val="36"/>
          <w:lang w:val="en-US" w:eastAsia="zh-CN"/>
        </w:rPr>
        <w:t>（四）加强宣传引导，营造良好氛围。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各地要积极利用各类媒体渠道，引导旅游市场主体依法依规开展经营活动，在经营过程中注意保护生态，注意游客安全。发布安全提示，引导游客主动抵制私设“景点”，文明旅游，绿色出行。      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E054247"/>
    <w:multiLevelType w:val="singleLevel"/>
    <w:tmpl w:val="CE054247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EwYjE5ZTAxMzEwZGE3MDE1MjM4M2NkMGJhZTQxNmMifQ=="/>
  </w:docVars>
  <w:rsids>
    <w:rsidRoot w:val="0EBC749F"/>
    <w:rsid w:val="0EBC749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UserStyle_0"/>
    <w:basedOn w:val="1"/>
    <w:qFormat/>
    <w:uiPriority w:val="0"/>
    <w:pPr>
      <w:ind w:firstLine="200" w:firstLineChars="200"/>
    </w:pPr>
    <w:rPr>
      <w:rFonts w:ascii="Calibri" w:hAnsi="Calibri" w:eastAsia="宋体" w:cs="Times New Roman"/>
      <w:color w:val="00000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2022-09-07T07:07:00Z</dcterms:created>
  <dc:creator>赖。</dc:creator>
  <cp:lastModifiedBy>赖。</cp:lastModifiedBy>
  <dcterms:modified xsi:type="dcterms:W3CDTF">2022-09-07T07:07:45Z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6349BC8564914F04A2448154A77C8EF7</vt:lpwstr>
  </property>
</Properties>
</file>