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580A0">
      <w:pPr>
        <w:spacing w:line="560" w:lineRule="exact"/>
        <w:jc w:val="left"/>
        <w:outlineLvl w:val="0"/>
        <w:rPr>
          <w:rFonts w:hint="default" w:ascii="仿宋_GB2312" w:hAnsi="仿宋" w:eastAsia="仿宋_GB2312" w:cs="仿宋"/>
          <w:kern w:val="2"/>
          <w:sz w:val="32"/>
          <w:szCs w:val="32"/>
          <w:lang w:val="en-US" w:eastAsia="zh-CN" w:bidi="ar-SA"/>
        </w:rPr>
      </w:pPr>
      <w:bookmarkStart w:id="0" w:name="_GoBack"/>
      <w:bookmarkEnd w:id="0"/>
      <w:r>
        <w:rPr>
          <w:rFonts w:hint="eastAsia" w:ascii="仿宋_GB2312" w:hAnsi="仿宋" w:eastAsia="仿宋_GB2312" w:cs="仿宋"/>
          <w:kern w:val="2"/>
          <w:sz w:val="32"/>
          <w:szCs w:val="32"/>
          <w:lang w:val="en-US" w:eastAsia="zh-CN" w:bidi="ar-SA"/>
        </w:rPr>
        <w:t>附件</w:t>
      </w:r>
    </w:p>
    <w:p w14:paraId="5DBEEAE8">
      <w:pPr>
        <w:spacing w:line="560" w:lineRule="exact"/>
        <w:jc w:val="center"/>
        <w:outlineLvl w:val="0"/>
        <w:rPr>
          <w:rFonts w:hint="eastAsia" w:ascii="方正小标宋简体" w:hAnsi="方正小标宋简体" w:eastAsia="方正小标宋简体" w:cs="方正小标宋简体"/>
          <w:sz w:val="36"/>
          <w:szCs w:val="36"/>
        </w:rPr>
      </w:pPr>
      <w:r>
        <w:rPr>
          <w:rFonts w:hint="eastAsia" w:ascii="方正小标宋简体" w:hAnsi="宋体" w:eastAsia="方正小标宋简体" w:cs="宋体"/>
          <w:bCs/>
          <w:sz w:val="44"/>
          <w:szCs w:val="44"/>
        </w:rPr>
        <w:t>全市文旅市场服务质量提升行动实施方案</w:t>
      </w:r>
    </w:p>
    <w:p w14:paraId="60E60762">
      <w:pPr>
        <w:spacing w:line="560" w:lineRule="exact"/>
        <w:jc w:val="center"/>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(草案)</w:t>
      </w:r>
    </w:p>
    <w:p w14:paraId="3A7677BD">
      <w:pPr>
        <w:spacing w:line="560" w:lineRule="exact"/>
        <w:jc w:val="center"/>
        <w:rPr>
          <w:rFonts w:asciiTheme="majorEastAsia" w:hAnsiTheme="majorEastAsia" w:eastAsiaTheme="majorEastAsia" w:cstheme="majorEastAsia"/>
          <w:sz w:val="32"/>
          <w:szCs w:val="32"/>
        </w:rPr>
      </w:pPr>
    </w:p>
    <w:p w14:paraId="203609DF">
      <w:pPr>
        <w:pStyle w:val="4"/>
        <w:widowControl/>
        <w:shd w:val="clear" w:color="auto" w:fill="FFFFFF"/>
        <w:spacing w:line="560" w:lineRule="exact"/>
        <w:ind w:firstLine="640" w:firstLineChars="200"/>
        <w:rPr>
          <w:rFonts w:hint="eastAsia" w:ascii="仿宋_GB2312" w:hAnsi="Calibri" w:eastAsia="仿宋_GB2312" w:cs="Times New Roman"/>
          <w:sz w:val="32"/>
          <w:szCs w:val="32"/>
        </w:rPr>
      </w:pPr>
      <w:r>
        <w:rPr>
          <w:rFonts w:hint="eastAsia" w:ascii="仿宋_GB2312" w:hAnsi="仿宋" w:eastAsia="仿宋_GB2312" w:cs="仿宋"/>
          <w:sz w:val="32"/>
          <w:szCs w:val="32"/>
        </w:rPr>
        <w:t>为深入贯彻落实国务院办公厅《关于进一步加强旅游市场综合监管的通知》（国办函〔2025〕95号）精神及省委、省政府关于旅游工作部署和市委、市政府关于文旅产业高质量发展工作要求，切实</w:t>
      </w:r>
      <w:r>
        <w:rPr>
          <w:rFonts w:hint="eastAsia" w:ascii="仿宋_GB2312" w:hAnsi="Calibri" w:eastAsia="仿宋_GB2312" w:cs="Times New Roman"/>
          <w:sz w:val="32"/>
          <w:szCs w:val="32"/>
        </w:rPr>
        <w:t>提升游客满意度和获得感，营造“放心游、安心游”文旅市场环境，制定本方案。</w:t>
      </w:r>
    </w:p>
    <w:p w14:paraId="69B1A840">
      <w:pPr>
        <w:pStyle w:val="4"/>
        <w:widowControl/>
        <w:shd w:val="clear" w:color="auto" w:fill="FFFFFF"/>
        <w:spacing w:line="560" w:lineRule="exact"/>
        <w:ind w:firstLine="640" w:firstLineChars="200"/>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一、工作要求</w:t>
      </w:r>
    </w:p>
    <w:p w14:paraId="059C6B96">
      <w:pPr>
        <w:pStyle w:val="4"/>
        <w:widowControl/>
        <w:shd w:val="clear" w:color="auto" w:fill="FFFFFF"/>
        <w:spacing w:line="56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val="en-US" w:eastAsia="zh-CN" w:bidi="ar"/>
        </w:rPr>
        <w:t>围绕打造游客友好型城市，注重倾听游客声音，不断提升服务意识与理念，</w:t>
      </w:r>
      <w:r>
        <w:rPr>
          <w:rFonts w:hint="eastAsia" w:ascii="仿宋_GB2312" w:hAnsi="仿宋" w:eastAsia="仿宋_GB2312"/>
          <w:sz w:val="32"/>
          <w:szCs w:val="32"/>
        </w:rPr>
        <w:t>聚焦</w:t>
      </w:r>
      <w:r>
        <w:rPr>
          <w:rFonts w:hint="eastAsia" w:ascii="仿宋_GB2312" w:hAnsi="Calibri" w:eastAsia="仿宋_GB2312" w:cs="Times New Roman"/>
          <w:sz w:val="32"/>
          <w:szCs w:val="32"/>
        </w:rPr>
        <w:t>扰乱旅游市场秩序、侵害游客权益以及“一床难求”“一车难打”“外卖难定”等突出问题，</w:t>
      </w:r>
      <w:r>
        <w:rPr>
          <w:rFonts w:hint="eastAsia" w:ascii="仿宋_GB2312" w:hAnsi="仿宋" w:eastAsia="仿宋_GB2312" w:cs="仿宋"/>
          <w:sz w:val="32"/>
          <w:szCs w:val="32"/>
        </w:rPr>
        <w:t>构建“常态化、长效化、精细化”监管机制，</w:t>
      </w:r>
      <w:r>
        <w:rPr>
          <w:rFonts w:hint="eastAsia" w:ascii="仿宋_GB2312" w:hAnsi="仿宋_GB2312" w:eastAsia="仿宋_GB2312" w:cs="仿宋_GB2312"/>
          <w:kern w:val="0"/>
          <w:sz w:val="32"/>
          <w:szCs w:val="32"/>
          <w:shd w:val="clear" w:color="auto" w:fill="FFFFFF"/>
          <w:lang w:bidi="ar"/>
        </w:rPr>
        <w:t>优化旅游消费环境，保障游客权益，</w:t>
      </w:r>
      <w:r>
        <w:rPr>
          <w:rFonts w:hint="eastAsia" w:ascii="仿宋_GB2312" w:hAnsi="Calibri" w:eastAsia="仿宋_GB2312" w:cs="Times New Roman"/>
          <w:sz w:val="32"/>
          <w:szCs w:val="32"/>
        </w:rPr>
        <w:t>不断提升服务质量水平和监管水平，力争一年见效，切实</w:t>
      </w:r>
      <w:r>
        <w:rPr>
          <w:rFonts w:hint="eastAsia" w:ascii="仿宋_GB2312" w:hAnsi="仿宋_GB2312" w:eastAsia="仿宋_GB2312" w:cs="仿宋_GB2312"/>
          <w:kern w:val="0"/>
          <w:sz w:val="32"/>
          <w:szCs w:val="32"/>
          <w:shd w:val="clear" w:color="auto" w:fill="FFFFFF"/>
          <w:lang w:bidi="ar"/>
        </w:rPr>
        <w:t>解决群众关心、舆论关注、社会关切的重点涉旅领域存在的突出问题，旅游服务质量和游客满意度明显提高，旅游综合治理更加高效。</w:t>
      </w:r>
    </w:p>
    <w:p w14:paraId="40E183C7">
      <w:pPr>
        <w:pStyle w:val="4"/>
        <w:widowControl/>
        <w:shd w:val="clear" w:color="auto" w:fill="FFFFFF"/>
        <w:spacing w:line="560" w:lineRule="exact"/>
        <w:ind w:firstLine="640" w:firstLineChars="200"/>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二、重点任务</w:t>
      </w:r>
    </w:p>
    <w:p w14:paraId="1E77372A">
      <w:pPr>
        <w:spacing w:line="560" w:lineRule="exact"/>
        <w:ind w:firstLine="640" w:firstLineChars="200"/>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统筹推进“服务+监管”工作，提高文旅市场服务品质和内容体验，树立城市良好的市场口碑。</w:t>
      </w:r>
    </w:p>
    <w:p w14:paraId="43D219DC">
      <w:pPr>
        <w:pStyle w:val="4"/>
        <w:widowControl/>
        <w:shd w:val="clear" w:color="auto" w:fill="FFFFFF"/>
        <w:spacing w:line="560" w:lineRule="exact"/>
        <w:ind w:firstLine="641" w:firstLineChars="200"/>
        <w:rPr>
          <w:rFonts w:hint="eastAsia" w:ascii="楷体_GB2312" w:hAnsi="楷体" w:eastAsia="楷体_GB2312" w:cs="楷体"/>
          <w:b/>
          <w:sz w:val="32"/>
          <w:szCs w:val="32"/>
        </w:rPr>
      </w:pPr>
      <w:r>
        <w:rPr>
          <w:rFonts w:hint="eastAsia" w:ascii="楷体_GB2312" w:hAnsi="楷体" w:eastAsia="楷体_GB2312" w:cs="楷体"/>
          <w:b/>
          <w:sz w:val="32"/>
          <w:szCs w:val="32"/>
        </w:rPr>
        <w:t>（一）开展服务质量提升行动</w:t>
      </w:r>
    </w:p>
    <w:p w14:paraId="0931D171">
      <w:pPr>
        <w:spacing w:line="560" w:lineRule="exact"/>
        <w:ind w:firstLine="640" w:firstLineChars="200"/>
        <w:rPr>
          <w:rFonts w:hint="eastAsia" w:ascii="仿宋_GB2312" w:hAnsi="仿宋" w:eastAsia="仿宋_GB2312" w:cs="仿宋"/>
          <w:sz w:val="32"/>
          <w:szCs w:val="32"/>
        </w:rPr>
      </w:pPr>
      <w:r>
        <w:rPr>
          <w:rFonts w:hint="eastAsia" w:ascii="仿宋_GB2312" w:hAnsi="Calibri" w:eastAsia="仿宋_GB2312" w:cs="Times New Roman"/>
          <w:sz w:val="32"/>
          <w:szCs w:val="32"/>
        </w:rPr>
        <w:t>围绕</w:t>
      </w:r>
      <w:r>
        <w:rPr>
          <w:rFonts w:hint="eastAsia" w:ascii="仿宋_GB2312" w:hAnsi="仿宋" w:eastAsia="仿宋_GB2312" w:cs="仿宋"/>
          <w:sz w:val="32"/>
          <w:szCs w:val="32"/>
        </w:rPr>
        <w:t>“吃住行游购娱”全要素优化服务保障，提升游客满意度。</w:t>
      </w:r>
    </w:p>
    <w:p w14:paraId="24324F10">
      <w:pPr>
        <w:spacing w:line="560" w:lineRule="exact"/>
        <w:ind w:firstLine="692" w:firstLineChars="200"/>
        <w:rPr>
          <w:rFonts w:hint="eastAsia" w:ascii="仿宋_GB2312" w:hAnsi="仿宋" w:eastAsia="仿宋_GB2312" w:cs="仿宋"/>
          <w:sz w:val="32"/>
          <w:szCs w:val="32"/>
        </w:rPr>
      </w:pPr>
      <w:r>
        <w:rPr>
          <w:rFonts w:hint="eastAsia" w:ascii="仿宋_GB2312" w:hAnsi="方正楷体_GBK" w:eastAsia="仿宋_GB2312" w:cs="方正楷体_GBK"/>
          <w:snapToGrid w:val="0"/>
          <w:color w:val="000000"/>
          <w:spacing w:val="13"/>
          <w:kern w:val="0"/>
          <w:sz w:val="32"/>
          <w:szCs w:val="32"/>
        </w:rPr>
        <w:t>1.餐饮业服务质量提升行动。</w:t>
      </w:r>
      <w:r>
        <w:rPr>
          <w:rFonts w:hint="eastAsia" w:ascii="仿宋_GB2312" w:hAnsi="仿宋" w:eastAsia="仿宋_GB2312" w:cs="仿宋"/>
          <w:sz w:val="32"/>
          <w:szCs w:val="32"/>
        </w:rPr>
        <w:t>推动厨房设备、清洗消毒、排烟降噪等设施以旧换新和升级改造。严格落实食材溯源、索证索票制度，引导合理点餐，主动提醒打包，践行“光盘行动”。开展覆盖食品安全、操作规范、服务礼仪、应急处理等的专题培训。强化对厨房、餐厅、储物间、卫生间等重点区域进行卫生排查和治理，接受消费者监督。（市商务局牵头，相关部门配合）</w:t>
      </w:r>
    </w:p>
    <w:p w14:paraId="383494F7">
      <w:pPr>
        <w:spacing w:line="560" w:lineRule="exact"/>
        <w:ind w:firstLine="692" w:firstLineChars="200"/>
        <w:rPr>
          <w:rFonts w:hint="eastAsia" w:ascii="仿宋_GB2312" w:hAnsi="仿宋" w:eastAsia="仿宋_GB2312" w:cs="仿宋"/>
          <w:sz w:val="32"/>
          <w:szCs w:val="32"/>
        </w:rPr>
      </w:pPr>
      <w:r>
        <w:rPr>
          <w:rFonts w:hint="eastAsia" w:ascii="仿宋_GB2312" w:hAnsi="方正楷体_GBK" w:eastAsia="仿宋_GB2312" w:cs="方正楷体_GBK"/>
          <w:snapToGrid w:val="0"/>
          <w:color w:val="000000"/>
          <w:spacing w:val="13"/>
          <w:kern w:val="0"/>
          <w:sz w:val="32"/>
          <w:szCs w:val="32"/>
        </w:rPr>
        <w:t>2.住宿业服务质量提升行动。</w:t>
      </w:r>
      <w:r>
        <w:rPr>
          <w:rFonts w:hint="eastAsia" w:ascii="仿宋_GB2312" w:hAnsi="仿宋" w:eastAsia="仿宋_GB2312" w:cs="仿宋"/>
          <w:sz w:val="32"/>
          <w:szCs w:val="32"/>
        </w:rPr>
        <w:t>加强经营主体品牌培育、推广，推动设施改造升级，支持企业提升境外游客接待能力。扩大品质供给，推动业态与消费场景创新，推进智慧化转型，打造智慧酒店。推进酒店、民宿低碳环保发展，鼓励发展绿色饭店、星级饭店国家标准。强化安全管理，落实食品安全主体责任、确保消防通道畅通。（市商务局牵头，相关部门配合）</w:t>
      </w:r>
    </w:p>
    <w:p w14:paraId="3E613189">
      <w:pPr>
        <w:widowControl/>
        <w:spacing w:line="560" w:lineRule="exact"/>
        <w:ind w:firstLine="692" w:firstLineChars="200"/>
        <w:rPr>
          <w:rFonts w:hint="eastAsia" w:ascii="仿宋_GB2312" w:hAnsi="仿宋" w:eastAsia="仿宋_GB2312" w:cs="仿宋"/>
          <w:sz w:val="32"/>
          <w:szCs w:val="32"/>
        </w:rPr>
      </w:pPr>
      <w:r>
        <w:rPr>
          <w:rFonts w:hint="eastAsia" w:ascii="仿宋_GB2312" w:hAnsi="方正楷体_GBK" w:eastAsia="仿宋_GB2312" w:cs="方正楷体_GBK"/>
          <w:snapToGrid w:val="0"/>
          <w:color w:val="000000"/>
          <w:spacing w:val="13"/>
          <w:kern w:val="0"/>
          <w:sz w:val="32"/>
          <w:szCs w:val="32"/>
        </w:rPr>
        <w:t>3.交通运输行业服务质量提升行动。</w:t>
      </w:r>
      <w:r>
        <w:rPr>
          <w:rFonts w:hint="eastAsia" w:ascii="仿宋_GB2312" w:hAnsi="仿宋" w:eastAsia="仿宋_GB2312" w:cs="仿宋"/>
          <w:sz w:val="32"/>
          <w:szCs w:val="32"/>
        </w:rPr>
        <w:t>优化枢纽服务功能，打通景区连接线，增设景区直通车、售票点。扩容停车资源，增设临时停车场，解决大型活动和节假日停车难。优化运输服务，动态调度运力，在节假日或大型活动期间，加密公交班次，调度出租车和应急车辆。开展职业素养与服务理念培训，引导从业人员树立“以人为本”的理念，在服务过程中强调尊重、耐心、真诚的服务态度，使用“您好”“请出示”“谢谢”等标准服务用语，避免命令式语气。主动关注用户需求，协助路线查询、帮助解决应急需求等实际问题。</w:t>
      </w:r>
      <w:r>
        <w:rPr>
          <w:rFonts w:hint="eastAsia" w:ascii="仿宋_GB2312" w:hAnsi="Calibri" w:eastAsia="仿宋_GB2312" w:cs="Times New Roman"/>
          <w:sz w:val="32"/>
          <w:szCs w:val="32"/>
        </w:rPr>
        <w:t>（市交通运输局牵头，相关部门配合）</w:t>
      </w:r>
    </w:p>
    <w:p w14:paraId="4B17F5FC">
      <w:pPr>
        <w:widowControl/>
        <w:spacing w:line="560" w:lineRule="exact"/>
        <w:ind w:firstLine="692" w:firstLineChars="200"/>
        <w:rPr>
          <w:rFonts w:hint="eastAsia" w:ascii="仿宋_GB2312" w:hAnsi="仿宋" w:eastAsia="仿宋_GB2312" w:cs="仿宋"/>
          <w:sz w:val="32"/>
          <w:szCs w:val="32"/>
        </w:rPr>
      </w:pPr>
      <w:r>
        <w:rPr>
          <w:rFonts w:hint="eastAsia" w:ascii="仿宋_GB2312" w:hAnsi="方正楷体_GBK" w:eastAsia="仿宋_GB2312" w:cs="方正楷体_GBK"/>
          <w:snapToGrid w:val="0"/>
          <w:color w:val="000000"/>
          <w:spacing w:val="13"/>
          <w:kern w:val="0"/>
          <w:sz w:val="32"/>
          <w:szCs w:val="32"/>
        </w:rPr>
        <w:t>4.旅行社、导游服务质量提升行动。</w:t>
      </w:r>
      <w:r>
        <w:rPr>
          <w:rFonts w:hint="eastAsia" w:ascii="仿宋_GB2312" w:hAnsi="仿宋" w:eastAsia="仿宋_GB2312" w:cs="仿宋"/>
          <w:sz w:val="32"/>
          <w:szCs w:val="32"/>
        </w:rPr>
        <w:t>牢固树立旅行社品牌意识，强化服务观念，提高管理人员和从业人员服务意识和职业素养。督促旅行社加强交通安全文明宣传教育、做好旅游客运安全带管理和使用工作，及时准确填报“全国文化和旅游监管服务平台”数据。引导广大导游诚实守信、爱岗敬业、乐于奉献，践行“游客为本、服务至诚”的行业核心价值观，采取多种形式开展有针对性的业务培训，提升人性化服务水平。（</w:t>
      </w:r>
      <w:r>
        <w:rPr>
          <w:rFonts w:hint="eastAsia" w:ascii="仿宋_GB2312" w:hAnsi="Calibri" w:eastAsia="仿宋_GB2312" w:cs="Times New Roman"/>
          <w:sz w:val="32"/>
          <w:szCs w:val="32"/>
        </w:rPr>
        <w:t>市文广旅局牵头，相关部门配合）</w:t>
      </w:r>
    </w:p>
    <w:p w14:paraId="6A7F639F">
      <w:pPr>
        <w:spacing w:line="560" w:lineRule="exact"/>
        <w:ind w:firstLine="692" w:firstLineChars="200"/>
        <w:rPr>
          <w:rFonts w:hint="eastAsia" w:ascii="仿宋_GB2312" w:hAnsi="仿宋" w:eastAsia="仿宋_GB2312" w:cs="仿宋"/>
          <w:sz w:val="32"/>
          <w:szCs w:val="32"/>
        </w:rPr>
      </w:pPr>
      <w:r>
        <w:rPr>
          <w:rFonts w:hint="eastAsia" w:ascii="仿宋_GB2312" w:hAnsi="方正楷体_GBK" w:eastAsia="仿宋_GB2312" w:cs="方正楷体_GBK"/>
          <w:snapToGrid w:val="0"/>
          <w:color w:val="000000"/>
          <w:spacing w:val="13"/>
          <w:kern w:val="0"/>
          <w:sz w:val="32"/>
          <w:szCs w:val="32"/>
        </w:rPr>
        <w:t>5.购物场所服务质量提升行动。</w:t>
      </w:r>
      <w:r>
        <w:rPr>
          <w:rFonts w:hint="eastAsia" w:ascii="仿宋_GB2312" w:hAnsi="仿宋" w:eastAsia="仿宋_GB2312" w:cs="仿宋"/>
          <w:sz w:val="32"/>
          <w:szCs w:val="32"/>
        </w:rPr>
        <w:t>倡导诚信经营，服务至上理念，营造公平、公正、诚信、透明的旅游消费环境。督促购物场所、旅游景区等做到质价相符，自觉抵制商业贿赂。推广行业服务标准与规范、开展服务技能培训与比赛、提供便民服务措施。提升商品质量、完善无理由退货、先行赔付售后服务制度。完善消费维权服务制度建设，健全社会监督与评价反馈机制，推广在线消费纠纷解决机制、鼓励消费纠纷源头化解，营造放心消费环境氛围。（市市场监督管理局牵头，相关部门配合）</w:t>
      </w:r>
    </w:p>
    <w:p w14:paraId="37713E4C">
      <w:pPr>
        <w:widowControl/>
        <w:spacing w:line="560" w:lineRule="exact"/>
        <w:ind w:firstLine="692" w:firstLineChars="200"/>
        <w:rPr>
          <w:rFonts w:hint="eastAsia" w:ascii="仿宋_GB2312" w:hAnsi="仿宋" w:eastAsia="仿宋_GB2312" w:cs="仿宋"/>
          <w:sz w:val="32"/>
          <w:szCs w:val="32"/>
        </w:rPr>
      </w:pPr>
      <w:r>
        <w:rPr>
          <w:rFonts w:hint="eastAsia" w:ascii="仿宋_GB2312" w:hAnsi="方正楷体_GBK" w:eastAsia="仿宋_GB2312" w:cs="方正楷体_GBK"/>
          <w:snapToGrid w:val="0"/>
          <w:color w:val="000000"/>
          <w:spacing w:val="13"/>
          <w:kern w:val="0"/>
          <w:sz w:val="32"/>
          <w:szCs w:val="32"/>
        </w:rPr>
        <w:t>6.景区景点服务质量提升行动。</w:t>
      </w:r>
      <w:r>
        <w:rPr>
          <w:rFonts w:hint="eastAsia" w:ascii="仿宋_GB2312" w:hAnsi="仿宋" w:eastAsia="仿宋_GB2312" w:cs="仿宋"/>
          <w:sz w:val="32"/>
          <w:szCs w:val="32"/>
        </w:rPr>
        <w:t>加强A级旅游景区、A级乡村旅游经营单位和等级旅游民宿质量等级管理，进一步完善游客中心、驿站、停车场、标识标牌、旅游厕所、冬季游客“暖屋”等公共服务设施。优化交通服务，通过缩短发车间隔、增加接驳车数量、增设等候设施、增加服务人员等措施解决游客反映强烈的痛点问题。整治服务质量明显低于评定标准、服务态度不热情、文明礼貌用语不规范、讲解服务质量不高、卫生环境清理不及时、厕所管理不完善等问题。加强对特种设备的安全检查，完善应急预案，强化应急演练，确保游客安全。（</w:t>
      </w:r>
      <w:r>
        <w:rPr>
          <w:rFonts w:hint="eastAsia" w:ascii="仿宋_GB2312" w:hAnsi="Calibri" w:eastAsia="仿宋_GB2312" w:cs="Times New Roman"/>
          <w:sz w:val="32"/>
          <w:szCs w:val="32"/>
        </w:rPr>
        <w:t>市文广旅局牵头，相关部门配合）</w:t>
      </w:r>
    </w:p>
    <w:p w14:paraId="1153D665">
      <w:pPr>
        <w:pStyle w:val="4"/>
        <w:widowControl/>
        <w:shd w:val="clear" w:color="auto" w:fill="FFFFFF"/>
        <w:spacing w:line="560" w:lineRule="exact"/>
        <w:ind w:firstLine="641" w:firstLineChars="200"/>
        <w:rPr>
          <w:rFonts w:hint="eastAsia" w:ascii="楷体_GB2312" w:hAnsi="楷体" w:eastAsia="楷体_GB2312" w:cs="楷体"/>
          <w:b/>
          <w:sz w:val="32"/>
          <w:szCs w:val="32"/>
          <w:lang w:eastAsia="zh-CN"/>
        </w:rPr>
      </w:pPr>
      <w:r>
        <w:rPr>
          <w:rFonts w:hint="eastAsia" w:ascii="楷体_GB2312" w:hAnsi="楷体" w:eastAsia="楷体_GB2312" w:cs="楷体"/>
          <w:b/>
          <w:sz w:val="32"/>
          <w:szCs w:val="32"/>
        </w:rPr>
        <w:t>（二）加强重点领域综合</w:t>
      </w:r>
      <w:r>
        <w:rPr>
          <w:rFonts w:hint="eastAsia" w:ascii="楷体_GB2312" w:hAnsi="楷体" w:eastAsia="楷体_GB2312" w:cs="楷体"/>
          <w:b/>
          <w:sz w:val="32"/>
          <w:szCs w:val="32"/>
          <w:lang w:eastAsia="zh-CN"/>
        </w:rPr>
        <w:t>监管</w:t>
      </w:r>
    </w:p>
    <w:p w14:paraId="4B8A9152">
      <w:pPr>
        <w:spacing w:line="560" w:lineRule="exact"/>
        <w:ind w:firstLine="645"/>
        <w:rPr>
          <w:rFonts w:hint="eastAsia" w:ascii="仿宋_GB2312" w:hAnsi="Calibri" w:eastAsia="仿宋_GB2312" w:cs="Times New Roman"/>
          <w:sz w:val="32"/>
          <w:szCs w:val="32"/>
        </w:rPr>
      </w:pPr>
      <w:r>
        <w:rPr>
          <w:rFonts w:hint="eastAsia" w:ascii="仿宋_GB2312" w:hAnsi="Calibri" w:eastAsia="仿宋_GB2312" w:cs="Times New Roman"/>
          <w:sz w:val="32"/>
          <w:szCs w:val="32"/>
        </w:rPr>
        <w:t>聚焦大型活动、重点时段、重点场所，锚定涉旅市场监管重点、难点问题，各部门依职责落实综合治理工作任务，营造诚信守法、公平竞争、文明有序的市场环境。</w:t>
      </w:r>
    </w:p>
    <w:p w14:paraId="3F685C8B">
      <w:pPr>
        <w:widowControl/>
        <w:spacing w:line="560" w:lineRule="exact"/>
        <w:ind w:firstLine="692" w:firstLineChars="200"/>
        <w:rPr>
          <w:rFonts w:hint="eastAsia" w:ascii="仿宋_GB2312" w:hAnsi="Calibri" w:eastAsia="仿宋_GB2312" w:cs="Times New Roman"/>
          <w:sz w:val="32"/>
          <w:szCs w:val="32"/>
        </w:rPr>
      </w:pPr>
      <w:r>
        <w:rPr>
          <w:rFonts w:hint="eastAsia" w:ascii="仿宋_GB2312" w:hAnsi="方正楷体_GBK" w:eastAsia="仿宋_GB2312" w:cs="方正楷体_GBK"/>
          <w:snapToGrid w:val="0"/>
          <w:color w:val="000000"/>
          <w:spacing w:val="13"/>
          <w:kern w:val="0"/>
          <w:sz w:val="32"/>
          <w:szCs w:val="32"/>
        </w:rPr>
        <w:t>1.全面加强餐饮、住宿、商品流通领域综合</w:t>
      </w:r>
      <w:r>
        <w:rPr>
          <w:rFonts w:hint="eastAsia" w:ascii="仿宋_GB2312" w:hAnsi="方正楷体_GBK" w:eastAsia="仿宋_GB2312" w:cs="方正楷体_GBK"/>
          <w:snapToGrid w:val="0"/>
          <w:color w:val="000000"/>
          <w:spacing w:val="13"/>
          <w:kern w:val="0"/>
          <w:sz w:val="32"/>
          <w:szCs w:val="32"/>
          <w:lang w:eastAsia="zh-CN"/>
        </w:rPr>
        <w:t>监管</w:t>
      </w:r>
      <w:r>
        <w:rPr>
          <w:rFonts w:hint="eastAsia" w:ascii="仿宋_GB2312" w:hAnsi="方正楷体_GBK" w:eastAsia="仿宋_GB2312" w:cs="方正楷体_GBK"/>
          <w:snapToGrid w:val="0"/>
          <w:color w:val="000000"/>
          <w:spacing w:val="13"/>
          <w:kern w:val="0"/>
          <w:sz w:val="32"/>
          <w:szCs w:val="32"/>
        </w:rPr>
        <w:t>。</w:t>
      </w:r>
      <w:r>
        <w:rPr>
          <w:rFonts w:hint="eastAsia" w:ascii="仿宋_GB2312" w:hAnsi="Calibri" w:eastAsia="仿宋_GB2312" w:cs="Times New Roman"/>
          <w:sz w:val="32"/>
          <w:szCs w:val="32"/>
        </w:rPr>
        <w:t>加强对原材料采购的管理，严厉查处采购来源不明原料、使用过期变质食材、非法添加、销售不符合食品安全标准食品行为。严厉查处后厨、用餐环境卫生脏乱差，提供消毒不合格餐具等行为。严厉查处明码标价不规范、“阴阳价单”、低标高结等行为。严厉查处欺客宰客、虚假宣传、虚假广告等行为。严厉查处“山寨”等侵犯知识产权及制售假冒伪劣商品行为；严厉查处价格欺诈、缺斤短两等行为。（市市场监督管理局牵头，相关部门配合）</w:t>
      </w:r>
    </w:p>
    <w:p w14:paraId="7905CE43">
      <w:pPr>
        <w:widowControl/>
        <w:spacing w:line="560" w:lineRule="exact"/>
        <w:ind w:firstLine="692" w:firstLineChars="200"/>
        <w:rPr>
          <w:rFonts w:hint="eastAsia" w:ascii="仿宋_GB2312" w:hAnsi="Calibri" w:eastAsia="仿宋_GB2312" w:cs="Times New Roman"/>
          <w:sz w:val="32"/>
          <w:szCs w:val="32"/>
        </w:rPr>
      </w:pPr>
      <w:r>
        <w:rPr>
          <w:rFonts w:hint="eastAsia" w:ascii="仿宋_GB2312" w:hAnsi="方正楷体_GBK" w:eastAsia="仿宋_GB2312" w:cs="方正楷体_GBK"/>
          <w:snapToGrid w:val="0"/>
          <w:color w:val="000000"/>
          <w:spacing w:val="13"/>
          <w:kern w:val="0"/>
          <w:sz w:val="32"/>
          <w:szCs w:val="32"/>
        </w:rPr>
        <w:t>2.全面加强交通运输领域综合</w:t>
      </w:r>
      <w:r>
        <w:rPr>
          <w:rFonts w:hint="eastAsia" w:ascii="仿宋_GB2312" w:hAnsi="方正楷体_GBK" w:eastAsia="仿宋_GB2312" w:cs="方正楷体_GBK"/>
          <w:snapToGrid w:val="0"/>
          <w:color w:val="000000"/>
          <w:spacing w:val="13"/>
          <w:kern w:val="0"/>
          <w:sz w:val="32"/>
          <w:szCs w:val="32"/>
          <w:lang w:eastAsia="zh-CN"/>
        </w:rPr>
        <w:t>监管</w:t>
      </w:r>
      <w:r>
        <w:rPr>
          <w:rFonts w:hint="eastAsia" w:ascii="仿宋_GB2312" w:hAnsi="方正楷体_GBK" w:eastAsia="仿宋_GB2312" w:cs="方正楷体_GBK"/>
          <w:snapToGrid w:val="0"/>
          <w:color w:val="000000"/>
          <w:spacing w:val="13"/>
          <w:kern w:val="0"/>
          <w:sz w:val="32"/>
          <w:szCs w:val="32"/>
        </w:rPr>
        <w:t>。</w:t>
      </w:r>
      <w:r>
        <w:rPr>
          <w:rFonts w:hint="eastAsia" w:ascii="仿宋_GB2312" w:hAnsi="Calibri" w:eastAsia="仿宋_GB2312" w:cs="Times New Roman"/>
          <w:sz w:val="32"/>
          <w:szCs w:val="32"/>
        </w:rPr>
        <w:t>加大旅游交通运力保障，着力完善旅游交通网络设施，提升旅游交通服务品质，解决“一车难打”问题。严厉查处未取得道路客运和出租汽车客运经营许可擅自从事营运活动，出租车违规揽客拼客、甩客、拒载、索要高价、故意绕道，不按规定使用计价器等行为。督促从事旅游客运的交通运输企业加强道路、水路交通安全管理，排查整治旅游包车相关制度要求落实不到位等问题。（市交通运输局牵头，相关部门配合）</w:t>
      </w:r>
    </w:p>
    <w:p w14:paraId="7C83239F">
      <w:pPr>
        <w:widowControl/>
        <w:spacing w:line="560" w:lineRule="exact"/>
        <w:ind w:firstLine="692" w:firstLineChars="200"/>
        <w:rPr>
          <w:rFonts w:hint="eastAsia" w:ascii="仿宋_GB2312" w:hAnsi="Calibri" w:eastAsia="仿宋_GB2312" w:cs="Times New Roman"/>
          <w:sz w:val="32"/>
          <w:szCs w:val="32"/>
        </w:rPr>
      </w:pPr>
      <w:r>
        <w:rPr>
          <w:rFonts w:hint="eastAsia" w:ascii="仿宋_GB2312" w:hAnsi="方正楷体_GBK" w:eastAsia="仿宋_GB2312" w:cs="方正楷体_GBK"/>
          <w:snapToGrid w:val="0"/>
          <w:color w:val="000000"/>
          <w:spacing w:val="13"/>
          <w:kern w:val="0"/>
          <w:sz w:val="32"/>
          <w:szCs w:val="32"/>
        </w:rPr>
        <w:t>3.全面加强文旅领域综合</w:t>
      </w:r>
      <w:r>
        <w:rPr>
          <w:rFonts w:hint="eastAsia" w:ascii="仿宋_GB2312" w:hAnsi="方正楷体_GBK" w:eastAsia="仿宋_GB2312" w:cs="方正楷体_GBK"/>
          <w:snapToGrid w:val="0"/>
          <w:color w:val="000000"/>
          <w:spacing w:val="13"/>
          <w:kern w:val="0"/>
          <w:sz w:val="32"/>
          <w:szCs w:val="32"/>
          <w:lang w:eastAsia="zh-CN"/>
        </w:rPr>
        <w:t>监管</w:t>
      </w:r>
      <w:r>
        <w:rPr>
          <w:rFonts w:hint="eastAsia" w:ascii="仿宋_GB2312" w:hAnsi="方正楷体_GBK" w:eastAsia="仿宋_GB2312" w:cs="方正楷体_GBK"/>
          <w:snapToGrid w:val="0"/>
          <w:color w:val="000000"/>
          <w:spacing w:val="13"/>
          <w:kern w:val="0"/>
          <w:sz w:val="32"/>
          <w:szCs w:val="32"/>
        </w:rPr>
        <w:t>。</w:t>
      </w:r>
      <w:r>
        <w:rPr>
          <w:rFonts w:hint="eastAsia" w:ascii="仿宋_GB2312" w:hAnsi="Calibri" w:eastAsia="仿宋_GB2312" w:cs="Times New Roman"/>
          <w:sz w:val="32"/>
          <w:szCs w:val="32"/>
        </w:rPr>
        <w:t>加强网吧等文化场所管理，严厉打击违规接纳未成年人，内容低俗、媚俗、庸俗等违法违规行为。加强导游队伍管理，依法保障导游劳动权益。严厉查处未经许可从事旅行社业务、虚假宣传等违规经营行为。严厉查处旅行社不签订或不履行旅游合同，派遣无证导游和导游擅自改变行程等行为；低价诱骗游客、不实信息误导游客行为；不向导游支付或者不足额支付劳动报酬，要求导游垫付接待费用等行为。严厉查处未取得导游证从事导游活动、未接受旅行社委派私自承揽导游业务行为。严厉查处导游拒绝履行合同、以“人头费”“返点”等名义收取回扣等行为。（市文广旅局牵头，相关部门配合）</w:t>
      </w:r>
    </w:p>
    <w:p w14:paraId="69C10CBB">
      <w:pPr>
        <w:widowControl/>
        <w:spacing w:line="560" w:lineRule="exact"/>
        <w:ind w:firstLine="692" w:firstLineChars="200"/>
        <w:rPr>
          <w:rFonts w:hint="eastAsia" w:ascii="仿宋_GB2312" w:hAnsi="仿宋" w:eastAsia="仿宋_GB2312" w:cs="仿宋"/>
          <w:b/>
          <w:sz w:val="32"/>
          <w:szCs w:val="32"/>
        </w:rPr>
      </w:pPr>
      <w:r>
        <w:rPr>
          <w:rFonts w:hint="eastAsia" w:ascii="仿宋_GB2312" w:hAnsi="方正楷体_GBK" w:eastAsia="仿宋_GB2312" w:cs="方正楷体_GBK"/>
          <w:snapToGrid w:val="0"/>
          <w:color w:val="000000"/>
          <w:spacing w:val="13"/>
          <w:kern w:val="0"/>
          <w:sz w:val="32"/>
          <w:szCs w:val="32"/>
        </w:rPr>
        <w:t>4.全面加强涉旅行业治安秩序综合</w:t>
      </w:r>
      <w:r>
        <w:rPr>
          <w:rFonts w:hint="eastAsia" w:ascii="仿宋_GB2312" w:hAnsi="方正楷体_GBK" w:eastAsia="仿宋_GB2312" w:cs="方正楷体_GBK"/>
          <w:snapToGrid w:val="0"/>
          <w:color w:val="000000"/>
          <w:spacing w:val="13"/>
          <w:kern w:val="0"/>
          <w:sz w:val="32"/>
          <w:szCs w:val="32"/>
          <w:lang w:eastAsia="zh-CN"/>
        </w:rPr>
        <w:t>监管</w:t>
      </w:r>
      <w:r>
        <w:rPr>
          <w:rFonts w:hint="eastAsia" w:ascii="仿宋_GB2312" w:hAnsi="方正楷体_GBK" w:eastAsia="仿宋_GB2312" w:cs="方正楷体_GBK"/>
          <w:snapToGrid w:val="0"/>
          <w:color w:val="000000"/>
          <w:spacing w:val="13"/>
          <w:kern w:val="0"/>
          <w:sz w:val="32"/>
          <w:szCs w:val="32"/>
        </w:rPr>
        <w:t>。</w:t>
      </w:r>
      <w:r>
        <w:rPr>
          <w:rFonts w:hint="eastAsia" w:ascii="仿宋_GB2312" w:hAnsi="Calibri" w:eastAsia="仿宋_GB2312" w:cs="Times New Roman"/>
          <w:sz w:val="32"/>
          <w:szCs w:val="32"/>
        </w:rPr>
        <w:t>加强旅游景区、旅游交通站点及周边治安秩序综合治理。严厉查处未取得特种行业许可从事旅馆业经营活动的行为。严厉查处囤积房源、哄抬价格、在标价外加收费用、拒绝履行价格承诺等行为。维护旅游景区、旅游交通站点及周边治安、交通秩序。推动落实实名购票和实名入场制度，严厉查处“ 黄牛”炒票、倒票等行为。（市公安局牵头，相关部门配合）</w:t>
      </w:r>
    </w:p>
    <w:p w14:paraId="7F7E91E6">
      <w:pPr>
        <w:pStyle w:val="4"/>
        <w:widowControl/>
        <w:shd w:val="clear" w:color="auto" w:fill="FFFFFF"/>
        <w:spacing w:line="560" w:lineRule="exact"/>
        <w:ind w:firstLine="640" w:firstLineChars="200"/>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三、建立联动保障机制</w:t>
      </w:r>
    </w:p>
    <w:p w14:paraId="5A93CD7D">
      <w:pPr>
        <w:spacing w:line="560" w:lineRule="exact"/>
        <w:ind w:firstLine="640" w:firstLineChars="200"/>
        <w:rPr>
          <w:rFonts w:hint="eastAsia" w:ascii="仿宋_GB2312" w:hAnsi="仿宋" w:eastAsia="仿宋_GB2312" w:cs="仿宋"/>
          <w:b/>
          <w:sz w:val="32"/>
          <w:szCs w:val="32"/>
        </w:rPr>
      </w:pPr>
      <w:r>
        <w:rPr>
          <w:rFonts w:hint="eastAsia" w:ascii="仿宋_GB2312" w:hAnsi="Calibri" w:eastAsia="仿宋_GB2312" w:cs="Times New Roman"/>
          <w:sz w:val="32"/>
          <w:szCs w:val="32"/>
        </w:rPr>
        <w:t>通过“制度共建、数据共享、执法共联、风险共防”，实现游客满意度与产业竞争力的双提升。</w:t>
      </w:r>
    </w:p>
    <w:p w14:paraId="2917E778">
      <w:pPr>
        <w:widowControl/>
        <w:spacing w:line="560" w:lineRule="exact"/>
        <w:ind w:firstLine="640" w:firstLineChars="200"/>
        <w:rPr>
          <w:rFonts w:hint="eastAsia" w:ascii="仿宋_GB2312" w:hAnsi="CESI仿宋-GB2312" w:eastAsia="仿宋_GB2312" w:cs="CESI仿宋-GB2312"/>
          <w:sz w:val="32"/>
          <w:szCs w:val="32"/>
        </w:rPr>
      </w:pPr>
      <w:r>
        <w:rPr>
          <w:rFonts w:hint="eastAsia" w:ascii="仿宋_GB2312" w:hAnsi="楷体" w:eastAsia="仿宋_GB2312" w:cs="楷体"/>
          <w:sz w:val="32"/>
          <w:szCs w:val="32"/>
        </w:rPr>
        <w:t>（一）建立执法联动检查机制。</w:t>
      </w:r>
      <w:r>
        <w:rPr>
          <w:rFonts w:hint="eastAsia" w:ascii="仿宋_GB2312" w:hAnsi="仿宋_GB2312" w:eastAsia="仿宋_GB2312" w:cs="仿宋_GB2312"/>
          <w:kern w:val="0"/>
          <w:sz w:val="32"/>
          <w:szCs w:val="32"/>
          <w:shd w:val="clear" w:color="auto" w:fill="FFFFFF"/>
          <w:lang w:bidi="ar"/>
        </w:rPr>
        <w:t>结合大型涉旅节庆活动、黄金周，</w:t>
      </w:r>
      <w:r>
        <w:rPr>
          <w:rFonts w:hint="eastAsia" w:ascii="仿宋_GB2312" w:hAnsi="Calibri" w:eastAsia="仿宋_GB2312" w:cs="Times New Roman"/>
          <w:sz w:val="32"/>
          <w:szCs w:val="32"/>
        </w:rPr>
        <w:t>健全旅游市场综合执法联动机制，开展专项执法检查。严厉打击“不合理低价游”、车辆欺客宰客、导游强制购物、商品虚假宣传、产品缺斤少两、场所价格欺诈等违法违规行为，加大对食品安全、服务质量等领域集中整治，维护景区治安秩序，查处涉旅违法犯罪行为，以“零容忍”态度重拳打击违规经营行为。（市文广旅局牵头，相关部门配合）</w:t>
      </w:r>
    </w:p>
    <w:p w14:paraId="1DD9A212">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楷体" w:eastAsia="仿宋_GB2312" w:cs="楷体"/>
          <w:sz w:val="32"/>
          <w:szCs w:val="32"/>
        </w:rPr>
        <w:t>（二）建立涉旅案件快办机制。</w:t>
      </w:r>
      <w:r>
        <w:rPr>
          <w:rFonts w:hint="eastAsia" w:ascii="仿宋_GB2312" w:hAnsi="Calibri" w:eastAsia="仿宋_GB2312" w:cs="Times New Roman"/>
          <w:sz w:val="32"/>
          <w:szCs w:val="32"/>
        </w:rPr>
        <w:t>优化行政执法流程，推行简易程序快速处理制度，对事实清楚、情节简单的案件简化取证、审批和处罚流程。发挥旅游仲裁机构作用，推广在线调解和远程办案，提高纠纷解决效率。对符合立案条件的涉旅案件，严格遵循“快速立案、快速办结、快速反馈”原则，一般案件办结时间不超过15个工作日，重大复杂案件不超过30个工作日。（市文广旅局牵头，相关部门配合）</w:t>
      </w:r>
    </w:p>
    <w:p w14:paraId="0B6DA761">
      <w:pPr>
        <w:widowControl/>
        <w:spacing w:line="560" w:lineRule="exact"/>
        <w:ind w:firstLine="640" w:firstLineChars="200"/>
        <w:rPr>
          <w:rFonts w:hint="eastAsia" w:ascii="仿宋_GB2312" w:hAnsi="Calibri" w:eastAsia="仿宋_GB2312" w:cs="Times New Roman"/>
          <w:sz w:val="32"/>
          <w:szCs w:val="32"/>
        </w:rPr>
      </w:pPr>
      <w:r>
        <w:rPr>
          <w:rFonts w:hint="eastAsia" w:ascii="仿宋_GB2312" w:hAnsi="楷体" w:eastAsia="仿宋_GB2312" w:cs="楷体"/>
          <w:sz w:val="32"/>
          <w:szCs w:val="32"/>
        </w:rPr>
        <w:t>（三）建立经营主体“红黑榜”制度。</w:t>
      </w:r>
      <w:r>
        <w:rPr>
          <w:rFonts w:hint="eastAsia" w:ascii="仿宋_GB2312" w:hAnsi="Calibri" w:eastAsia="仿宋_GB2312" w:cs="Times New Roman"/>
          <w:sz w:val="32"/>
          <w:szCs w:val="32"/>
        </w:rPr>
        <w:t>各部门结合自身工作职责，聚焦涉旅行业主体，开展专项整治，定期发布诚信守法和违法失信的“红黑榜”名单。对列入“红榜”的经营主体，在宣传促销、产品推介、人才培养等方面给予激励；对列入“黑榜”的经营主体，通过“信用中国（吉林长春）等官方网站和社会媒体公开曝光，并纳入重点监管。（市文广旅局牵头，相关部门配合）</w:t>
      </w:r>
    </w:p>
    <w:p w14:paraId="235CB4D7">
      <w:pPr>
        <w:spacing w:line="560" w:lineRule="exact"/>
        <w:ind w:firstLine="645"/>
        <w:rPr>
          <w:rFonts w:hint="eastAsia" w:ascii="仿宋_GB2312" w:hAnsi="Calibri" w:eastAsia="仿宋_GB2312" w:cs="Times New Roman"/>
          <w:sz w:val="32"/>
          <w:szCs w:val="32"/>
        </w:rPr>
      </w:pPr>
      <w:r>
        <w:rPr>
          <w:rFonts w:hint="eastAsia" w:ascii="仿宋_GB2312" w:hAnsi="楷体" w:eastAsia="仿宋_GB2312" w:cs="楷体"/>
          <w:sz w:val="32"/>
          <w:szCs w:val="32"/>
        </w:rPr>
        <w:t>（四）建立涉旅舆情处置机制。</w:t>
      </w:r>
      <w:r>
        <w:rPr>
          <w:rFonts w:hint="eastAsia" w:ascii="仿宋_GB2312" w:hAnsi="Calibri" w:eastAsia="仿宋_GB2312" w:cs="Times New Roman"/>
          <w:sz w:val="32"/>
          <w:szCs w:val="32"/>
        </w:rPr>
        <w:t>建立健全全域监测网络，构建7×24小时全网监测体系。重点关注抖音、小红书、快手等社交媒体以及域外新锐媒体和网络媒体等渠道，针对景区、餐饮、交通、住宿、购物、服务等高频投诉领域进行精准监测，对涉旅舆情实时抓取和趋势研判，及时推送相关责任单位处理。（市委网信办牵头，相关部门配合）</w:t>
      </w:r>
    </w:p>
    <w:p w14:paraId="01755AD0">
      <w:pPr>
        <w:spacing w:line="560" w:lineRule="exact"/>
        <w:ind w:firstLine="645"/>
        <w:rPr>
          <w:rFonts w:hint="eastAsia" w:ascii="仿宋_GB2312" w:hAnsi="CESI仿宋-GB2312" w:eastAsia="仿宋_GB2312" w:cs="CESI仿宋-GB2312"/>
          <w:sz w:val="32"/>
          <w:szCs w:val="32"/>
        </w:rPr>
      </w:pPr>
      <w:r>
        <w:rPr>
          <w:rFonts w:hint="eastAsia" w:ascii="仿宋_GB2312" w:hAnsi="楷体" w:eastAsia="仿宋_GB2312" w:cs="楷体"/>
          <w:sz w:val="32"/>
          <w:szCs w:val="32"/>
        </w:rPr>
        <w:t>（五）建立涉旅投诉提级处理机制。</w:t>
      </w:r>
      <w:r>
        <w:rPr>
          <w:rFonts w:hint="eastAsia" w:ascii="仿宋_GB2312" w:hAnsi="Calibri" w:eastAsia="仿宋_GB2312" w:cs="Times New Roman"/>
          <w:sz w:val="32"/>
          <w:szCs w:val="32"/>
        </w:rPr>
        <w:t>依托12345平台，按照省接诉即办分类目录和考核要求，健全“集中受理、分类处置、跟踪督办、结果反馈”机制，做好涉旅投诉事项分流转办工作。各部门、各地建立“投诉即办、全程追踪、源头治理”涉旅投诉闭环管理机制，确保投诉案件快查快处，妥善解决。对多领域交叉问题，由首办部门发起联合处理，各部门协同配合。</w:t>
      </w:r>
      <w:r>
        <w:rPr>
          <w:rFonts w:hint="eastAsia" w:ascii="仿宋_GB2312" w:hAnsi="CESI仿宋-GB2312" w:eastAsia="仿宋_GB2312" w:cs="CESI仿宋-GB2312"/>
          <w:sz w:val="32"/>
          <w:szCs w:val="32"/>
        </w:rPr>
        <w:t>游客投诉和反映的问题24小时办结，游客反映的物品丢失需要帮助等问题立即办理。</w:t>
      </w:r>
      <w:r>
        <w:rPr>
          <w:rFonts w:hint="eastAsia" w:ascii="仿宋_GB2312" w:hAnsi="Calibri" w:eastAsia="仿宋_GB2312" w:cs="Times New Roman"/>
          <w:sz w:val="32"/>
          <w:szCs w:val="32"/>
        </w:rPr>
        <w:t>（市长公开电话办公室牵头，相关部门配合）</w:t>
      </w:r>
    </w:p>
    <w:p w14:paraId="25542B7C">
      <w:pPr>
        <w:spacing w:line="56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仿宋_GB2312" w:hAnsi="楷体" w:eastAsia="仿宋_GB2312" w:cs="楷体"/>
          <w:sz w:val="32"/>
          <w:szCs w:val="32"/>
        </w:rPr>
        <w:t>（六）建立旅游消费纠纷先行赔付机制。</w:t>
      </w:r>
      <w:r>
        <w:rPr>
          <w:rFonts w:hint="eastAsia" w:ascii="仿宋_GB2312" w:hAnsi="Calibri" w:eastAsia="仿宋_GB2312" w:cs="Times New Roman"/>
          <w:sz w:val="32"/>
          <w:szCs w:val="32"/>
        </w:rPr>
        <w:t>探索制定《旅游纠纷快速处置先行赔付实施细则》《先行赔付资金管理办法》等政策文件，设立旅游赔付专项资金账户，由财政部门统筹市级文旅专项资金予以保障。建设智慧文旅监管平台，整合舆情监测、投诉受理、先行赔付、信用监管等功能，实现数据共享和业务协同。（市文广旅局牵头，相关部门配合）</w:t>
      </w:r>
    </w:p>
    <w:p w14:paraId="03E05236">
      <w:pPr>
        <w:pStyle w:val="4"/>
        <w:widowControl/>
        <w:shd w:val="clear" w:color="auto" w:fill="FFFFFF"/>
        <w:spacing w:line="560" w:lineRule="exact"/>
        <w:ind w:firstLine="640" w:firstLineChars="200"/>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 xml:space="preserve">四、保障措施  </w:t>
      </w:r>
    </w:p>
    <w:p w14:paraId="428C610E">
      <w:pPr>
        <w:spacing w:line="560" w:lineRule="exact"/>
        <w:ind w:firstLine="640" w:firstLineChars="200"/>
        <w:rPr>
          <w:rFonts w:hint="eastAsia" w:ascii="仿宋_GB2312" w:hAnsi="Calibri" w:eastAsia="仿宋_GB2312" w:cs="Times New Roman"/>
          <w:sz w:val="32"/>
          <w:szCs w:val="32"/>
        </w:rPr>
      </w:pPr>
      <w:r>
        <w:rPr>
          <w:rFonts w:hint="eastAsia" w:ascii="仿宋_GB2312" w:hAnsi="楷体" w:eastAsia="仿宋_GB2312" w:cs="楷体"/>
          <w:sz w:val="32"/>
          <w:szCs w:val="32"/>
        </w:rPr>
        <w:t>（一）成立专班推进。</w:t>
      </w:r>
      <w:r>
        <w:rPr>
          <w:rFonts w:hint="eastAsia" w:ascii="仿宋_GB2312" w:hAnsi="Calibri" w:eastAsia="仿宋_GB2312" w:cs="Times New Roman"/>
          <w:sz w:val="32"/>
          <w:szCs w:val="32"/>
        </w:rPr>
        <w:t>由市领导担任组长成立专班，</w:t>
      </w:r>
      <w:r>
        <w:rPr>
          <w:rFonts w:hint="eastAsia" w:ascii="仿宋_GB2312" w:hAnsi="Calibri" w:eastAsia="仿宋_GB2312" w:cs="Times New Roman"/>
          <w:sz w:val="32"/>
          <w:szCs w:val="32"/>
          <w:lang w:val="en-US" w:eastAsia="zh-CN"/>
        </w:rPr>
        <w:t>市委宣传部、</w:t>
      </w:r>
      <w:r>
        <w:rPr>
          <w:rFonts w:hint="eastAsia" w:ascii="仿宋_GB2312" w:hAnsi="Calibri" w:eastAsia="仿宋_GB2312" w:cs="Times New Roman"/>
          <w:sz w:val="32"/>
          <w:szCs w:val="32"/>
        </w:rPr>
        <w:t>网信</w:t>
      </w:r>
      <w:r>
        <w:rPr>
          <w:rFonts w:hint="eastAsia" w:ascii="仿宋_GB2312" w:hAnsi="Calibri" w:eastAsia="仿宋_GB2312" w:cs="Times New Roman"/>
          <w:sz w:val="32"/>
          <w:szCs w:val="32"/>
          <w:lang w:val="en-US" w:eastAsia="zh-CN"/>
        </w:rPr>
        <w:t>办，市</w:t>
      </w:r>
      <w:r>
        <w:rPr>
          <w:rFonts w:hint="eastAsia" w:ascii="仿宋_GB2312" w:hAnsi="Calibri" w:eastAsia="仿宋_GB2312" w:cs="Times New Roman"/>
          <w:sz w:val="32"/>
          <w:szCs w:val="32"/>
        </w:rPr>
        <w:t>公安、交通、商务、文</w:t>
      </w:r>
      <w:r>
        <w:rPr>
          <w:rFonts w:hint="eastAsia" w:ascii="仿宋_GB2312" w:hAnsi="Calibri" w:eastAsia="仿宋_GB2312" w:cs="Times New Roman"/>
          <w:sz w:val="32"/>
          <w:szCs w:val="32"/>
          <w:lang w:val="en-US" w:eastAsia="zh-CN"/>
        </w:rPr>
        <w:t>广</w:t>
      </w:r>
      <w:r>
        <w:rPr>
          <w:rFonts w:hint="eastAsia" w:ascii="仿宋_GB2312" w:hAnsi="Calibri" w:eastAsia="仿宋_GB2312" w:cs="Times New Roman"/>
          <w:sz w:val="32"/>
          <w:szCs w:val="32"/>
        </w:rPr>
        <w:t>旅、市场监管、体育、林园、通信办、国家税务、市长公开电话和各县（市）区政府、开发区管委会为成员单位，专班办公室设在市文广旅局，负责日常协调工作。</w:t>
      </w:r>
    </w:p>
    <w:p w14:paraId="04A773B1">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楷体" w:eastAsia="仿宋_GB2312" w:cs="楷体"/>
          <w:sz w:val="32"/>
          <w:szCs w:val="32"/>
        </w:rPr>
        <w:t>（二）指定专人负责。</w:t>
      </w:r>
      <w:r>
        <w:rPr>
          <w:rFonts w:hint="eastAsia" w:ascii="仿宋_GB2312" w:hAnsi="Calibri" w:eastAsia="仿宋_GB2312" w:cs="Times New Roman"/>
          <w:sz w:val="32"/>
          <w:szCs w:val="32"/>
        </w:rPr>
        <w:t>各相关部门要按照本工作机制的要求，结合我市大型涉旅节庆和重要节假日，制定监管措施和开展重点领域专项整治，指定专人担任联络员，组织处级领导干部负责常态化综合监管与舆情、投诉处置工作，确保各项工作任务落到实处。并于10月</w:t>
      </w:r>
      <w:r>
        <w:rPr>
          <w:rFonts w:hint="eastAsia" w:ascii="仿宋_GB2312" w:hAnsi="Calibri" w:eastAsia="仿宋_GB2312" w:cs="Times New Roman"/>
          <w:sz w:val="32"/>
          <w:szCs w:val="32"/>
          <w:lang w:val="en-US" w:eastAsia="zh-CN"/>
        </w:rPr>
        <w:t>31</w:t>
      </w:r>
      <w:r>
        <w:rPr>
          <w:rFonts w:hint="eastAsia" w:ascii="仿宋_GB2312" w:hAnsi="Calibri" w:eastAsia="仿宋_GB2312" w:cs="Times New Roman"/>
          <w:sz w:val="32"/>
          <w:szCs w:val="32"/>
        </w:rPr>
        <w:t>日</w:t>
      </w:r>
      <w:r>
        <w:rPr>
          <w:rFonts w:hint="eastAsia" w:ascii="仿宋_GB2312" w:hAnsi="仿宋_GB2312" w:eastAsia="仿宋_GB2312" w:cs="仿宋_GB2312"/>
          <w:color w:val="000000"/>
          <w:kern w:val="0"/>
          <w:sz w:val="32"/>
          <w:szCs w:val="32"/>
          <w:lang w:bidi="ar"/>
        </w:rPr>
        <w:t>将旅游市场综合治理联动机制分管领导和负责同志联络表（附件3）报市旅游产业发展领导小组办公室。邮箱：1192527702@qq.com。联系人：宋盈轩，电话：81162947，18243179626。</w:t>
      </w:r>
    </w:p>
    <w:p w14:paraId="2364C548">
      <w:pPr>
        <w:spacing w:line="560" w:lineRule="exact"/>
        <w:rPr>
          <w:rFonts w:hint="eastAsia" w:ascii="仿宋_GB2312" w:hAnsi="Calibri" w:eastAsia="仿宋_GB2312" w:cs="Times New Roman"/>
          <w:sz w:val="32"/>
          <w:szCs w:val="32"/>
        </w:rPr>
      </w:pPr>
    </w:p>
    <w:p w14:paraId="2502B2E4">
      <w:pPr>
        <w:pStyle w:val="4"/>
        <w:widowControl/>
        <w:shd w:val="clear" w:color="auto" w:fill="FFFFFF"/>
        <w:spacing w:before="24" w:after="24" w:line="560" w:lineRule="exact"/>
        <w:ind w:left="1598" w:leftChars="304" w:hanging="960" w:hangingChars="3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附件：1.国务院办公厅关于进一步加强旅游市场综合监管的通知 </w:t>
      </w:r>
    </w:p>
    <w:p w14:paraId="4435D8EC">
      <w:pPr>
        <w:pStyle w:val="4"/>
        <w:widowControl/>
        <w:shd w:val="clear" w:color="auto" w:fill="FFFFFF"/>
        <w:spacing w:before="24" w:after="24" w:line="560" w:lineRule="exact"/>
        <w:ind w:left="1596" w:leftChars="760" w:firstLine="0" w:firstLineChars="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2.吉林省旅游产业发展领导小组办公室关于《进一步加强旅游市场综合治理行动方案》的通知 </w:t>
      </w:r>
    </w:p>
    <w:p w14:paraId="0A224F2B">
      <w:pPr>
        <w:spacing w:line="560" w:lineRule="exact"/>
        <w:ind w:firstLine="1600" w:firstLineChars="5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3.长春市旅游市场综合治理联动机制联络表</w:t>
      </w:r>
    </w:p>
    <w:p w14:paraId="4F2059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_GB2312" w:hAnsi="仿宋_GB2312" w:eastAsia="仿宋_GB2312" w:cs="仿宋_GB2312"/>
          <w:color w:val="000000"/>
          <w:kern w:val="0"/>
          <w:sz w:val="32"/>
          <w:szCs w:val="32"/>
          <w:lang w:val="en-US" w:eastAsia="zh-CN" w:bidi="ar"/>
        </w:rPr>
      </w:pPr>
    </w:p>
    <w:p w14:paraId="0629D4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w:t>
      </w:r>
    </w:p>
    <w:p w14:paraId="4487A6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left"/>
        <w:rPr>
          <w:rFonts w:hint="eastAsia" w:ascii="仿宋_GB2312" w:hAnsi="仿宋_GB2312" w:eastAsia="仿宋_GB2312" w:cs="仿宋_GB2312"/>
          <w:color w:val="000000"/>
          <w:kern w:val="0"/>
          <w:sz w:val="32"/>
          <w:szCs w:val="32"/>
          <w:lang w:val="en-US" w:eastAsia="zh-CN" w:bidi="ar"/>
        </w:rPr>
      </w:pPr>
    </w:p>
    <w:p w14:paraId="47A730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0"/>
        <w:jc w:val="center"/>
        <w:textAlignment w:val="auto"/>
        <w:rPr>
          <w:rFonts w:hint="eastAsia" w:ascii="宋体" w:hAnsi="宋体" w:eastAsia="宋体" w:cs="宋体"/>
          <w:i w:val="0"/>
          <w:iCs w:val="0"/>
          <w:caps w:val="0"/>
          <w:color w:val="333333"/>
          <w:spacing w:val="0"/>
          <w:sz w:val="36"/>
          <w:szCs w:val="36"/>
        </w:rPr>
      </w:pPr>
      <w:r>
        <w:rPr>
          <w:rStyle w:val="8"/>
          <w:rFonts w:hint="eastAsia" w:ascii="宋体" w:hAnsi="宋体" w:eastAsia="宋体" w:cs="宋体"/>
          <w:i w:val="0"/>
          <w:iCs w:val="0"/>
          <w:caps w:val="0"/>
          <w:color w:val="333333"/>
          <w:spacing w:val="0"/>
          <w:sz w:val="36"/>
          <w:szCs w:val="36"/>
          <w:shd w:val="clear" w:fill="FFFFFF"/>
        </w:rPr>
        <w:t>国务院办公厅关于进一步加强旅游市场综合监管的通知</w:t>
      </w:r>
    </w:p>
    <w:p w14:paraId="4A2850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国办函〔2025〕95号（2025年9月15日）</w:t>
      </w:r>
    </w:p>
    <w:p w14:paraId="111D9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宋体" w:hAnsi="宋体" w:eastAsia="宋体" w:cs="宋体"/>
          <w:i w:val="0"/>
          <w:iCs w:val="0"/>
          <w:caps w:val="0"/>
          <w:color w:val="333333"/>
          <w:spacing w:val="0"/>
          <w:sz w:val="32"/>
          <w:szCs w:val="32"/>
        </w:rPr>
      </w:pPr>
    </w:p>
    <w:p w14:paraId="73C386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各省、自治区、直辖市人民政府，国务院各部委、各直属机构：</w:t>
      </w:r>
    </w:p>
    <w:p w14:paraId="27434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960" w:firstLineChars="3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进一步建立健全职责明确、协同高效、保障有力的旅游市场综合监管机制，统筹政府与市场、发展与安全，着力解决扰乱旅游市场秩序、侵害游客权益等突出问题，优化旅游市场消费环境，改善游客消费体验，推动旅游业高质量发展，经国务院同意，现将有关事项通知如下。</w:t>
      </w:r>
    </w:p>
    <w:p w14:paraId="6410D4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黑体" w:hAnsi="黑体" w:eastAsia="黑体" w:cs="黑体"/>
          <w:i w:val="0"/>
          <w:iCs w:val="0"/>
          <w:caps w:val="0"/>
          <w:color w:val="333333"/>
          <w:spacing w:val="0"/>
          <w:sz w:val="32"/>
          <w:szCs w:val="32"/>
        </w:rPr>
      </w:pPr>
      <w:r>
        <w:rPr>
          <w:rStyle w:val="8"/>
          <w:rFonts w:hint="eastAsia" w:ascii="黑体" w:hAnsi="黑体" w:eastAsia="黑体" w:cs="黑体"/>
          <w:i w:val="0"/>
          <w:iCs w:val="0"/>
          <w:caps w:val="0"/>
          <w:color w:val="333333"/>
          <w:spacing w:val="0"/>
          <w:sz w:val="32"/>
          <w:szCs w:val="32"/>
          <w:shd w:val="clear" w:fill="FFFFFF"/>
        </w:rPr>
        <w:t>一、依法落实旅游市场监管责任</w:t>
      </w:r>
    </w:p>
    <w:p w14:paraId="586D7C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（一）强化旅游市场监管统筹。</w:t>
      </w:r>
      <w:r>
        <w:rPr>
          <w:rFonts w:hint="eastAsia" w:ascii="仿宋_GB2312" w:hAnsi="仿宋_GB2312" w:eastAsia="仿宋_GB2312" w:cs="仿宋_GB2312"/>
          <w:color w:val="000000"/>
          <w:kern w:val="0"/>
          <w:sz w:val="32"/>
          <w:szCs w:val="32"/>
          <w:lang w:val="en-US" w:eastAsia="zh-CN" w:bidi="ar"/>
        </w:rPr>
        <w:t>围绕旅游经营事前事中事后全流程监管，文化和旅游部牵头负责旅游市场综合监管的统筹、协调等工作。县级以上地方人民政府要对本行政区域的旅游市场监督管理进行统筹协调，营造诚信、公平、有序的旅游市场环境。</w:t>
      </w:r>
    </w:p>
    <w:p w14:paraId="20F093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（二）明确各相关部门职责。</w:t>
      </w:r>
      <w:r>
        <w:rPr>
          <w:rFonts w:hint="eastAsia" w:ascii="仿宋_GB2312" w:hAnsi="仿宋_GB2312" w:eastAsia="仿宋_GB2312" w:cs="仿宋_GB2312"/>
          <w:color w:val="000000"/>
          <w:kern w:val="0"/>
          <w:sz w:val="32"/>
          <w:szCs w:val="32"/>
          <w:lang w:val="en-US" w:eastAsia="zh-CN" w:bidi="ar"/>
        </w:rPr>
        <w:t>按照“属地管理、部门联动、各司其职、齐抓共管”的原则，明确各相关部门在旅游市场综合监管中的职责。各相关部门按照职责分工做好指导、协调、规范、监督检查等工作，加强信息沟通，强化联动协同，提升综合监管效能。</w:t>
      </w:r>
    </w:p>
    <w:p w14:paraId="127A03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文化和旅游部门：负责旅游市场综合监管的日常协调、联络等工作。依法承担规范旅游市场秩序、维护游客和旅游经营者合法权益的责任，监督管理旅游服务质量。查处旅游市场中违反旅游相关法律法规的行为。协同相关部门依法依职责处理旅游市场综合监管相关事宜。</w:t>
      </w:r>
    </w:p>
    <w:p w14:paraId="30C197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通信主管部门：依法对电信和互联网等信息通信服务实行监管，承担互联网行业管理责任。督促电信企业和在线旅游经营者落实网络与信息安全管理责任，配合开展在线旅游网络环境和信息治理，配合处理违法违规涉旅网站、应用程序等。</w:t>
      </w:r>
    </w:p>
    <w:p w14:paraId="4C0CF9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安部门：维护旅游景区、旅游交通站点及周边治安、交通秩序，依法查处倒卖博物馆门票、车票、船票或其他有价票证，强买强卖商品、强迫他人接受服务、盗窃、诈骗、敲诈勒索等违反治安管理行为和各类道路交通违法行为，对涉嫌犯罪的依法立案侦查。</w:t>
      </w:r>
    </w:p>
    <w:p w14:paraId="3F9FE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交通运输部门：负责道路、水路运输市场监管，依法查处违法违规行为。督促从事旅游客运的交通运输企业加强道路、水路交通运输安全管理。优化旅游包车管理，丰富旅游客运供给。</w:t>
      </w:r>
    </w:p>
    <w:p w14:paraId="7AFB9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商务部门：依法履行餐饮、住宿、商超等行业管理职能，引导行业健康发展。</w:t>
      </w:r>
    </w:p>
    <w:p w14:paraId="217345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税务部门：依法承担组织实施法律法规规定的税、费征收管理责任。依法查处旅游经营者偷逃税款、虚开发票等税收违法行为，对涉嫌犯罪的依法移交司法机关处理。协助查处旅游经营者做假账等违反税法规定的行为。</w:t>
      </w:r>
    </w:p>
    <w:p w14:paraId="75939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场监管部门：会同相关部门依法查处旅游市场中的虚假商业营销、销售假冒伪劣商品、利用不公平格式条款侵害游客合法权益、商业贿赂等违法行为。查处旅游经营者不按规定明码标价、欺诈宰客以及达成垄断协议、滥用市场支配地位等违法行为。依法对旅游场所大型游乐设施、客运索道等特种设备实施安全监管。</w:t>
      </w:r>
    </w:p>
    <w:p w14:paraId="1EB07E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体育部门：负责游泳、攀岩、潜水、滑雪等高危险性体育项目行业监管，依法查处在旅游景区、公园等地无证经营高危险性体育项目的违法行为。</w:t>
      </w:r>
    </w:p>
    <w:p w14:paraId="31CFB5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网信部门：根据行业主管部门研判意见，依法处置网上违法违规涉旅信息，查处发布各类诱导、欺诈游客等虚假旅游信息的违法违规网站平台、账号等。</w:t>
      </w:r>
    </w:p>
    <w:p w14:paraId="38B22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林业和草原部门：协调打击野生动植物非法贸易部际联席会议有关成员单位，依法打击旅游活动中违法出售、购买野生动植物及其制品的行为，加强对国家公园、自然保护区、自然公园的监督管理，督促旅游景区做好森林草原防火工作。</w:t>
      </w:r>
    </w:p>
    <w:p w14:paraId="15E47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民航部门：依法承担航空运输和通用航空市场监管责任。依法查处民用航空企业侵害游客权益的行为，维护游客机票退改签的合法权益。</w:t>
      </w:r>
    </w:p>
    <w:p w14:paraId="226B88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（三）落实旅游经营者主体责任。</w:t>
      </w:r>
      <w:r>
        <w:rPr>
          <w:rFonts w:hint="eastAsia" w:ascii="仿宋_GB2312" w:hAnsi="仿宋_GB2312" w:eastAsia="仿宋_GB2312" w:cs="仿宋_GB2312"/>
          <w:color w:val="000000"/>
          <w:kern w:val="0"/>
          <w:sz w:val="32"/>
          <w:szCs w:val="32"/>
          <w:lang w:val="en-US" w:eastAsia="zh-CN" w:bidi="ar"/>
        </w:rPr>
        <w:t>推动各类旅游经营者践行“游客为本、服务至诚”的理念，依法依规经营，提高服务品质，保障游客出游安全和合法权益，维护市场秩序。指导旅行社合理安排旅游行程，加强导游队伍管理，依法保障导游劳动权益。督促在线旅游平台与旅游经营者加强个人信息保护，不得以“大数据杀熟”、虚假宣传、捆绑销售等行为侵害游客权益。推动在线旅游平台良性竞争，依法保障平台内经营者合法权益，促进在线旅游市场健康有序发展。压实旅游包车企业安全生产主体责任。督促购物场所、旅游景区等做到质价相符，自觉抵制商业贿赂。</w:t>
      </w:r>
    </w:p>
    <w:p w14:paraId="5B2C86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（四）发挥行业组织作用。</w:t>
      </w:r>
      <w:r>
        <w:rPr>
          <w:rFonts w:hint="eastAsia" w:ascii="仿宋_GB2312" w:hAnsi="仿宋_GB2312" w:eastAsia="仿宋_GB2312" w:cs="仿宋_GB2312"/>
          <w:color w:val="000000"/>
          <w:kern w:val="0"/>
          <w:sz w:val="32"/>
          <w:szCs w:val="32"/>
          <w:lang w:val="en-US" w:eastAsia="zh-CN" w:bidi="ar"/>
        </w:rPr>
        <w:t>加强行业组织建设，鼓励行业组织积极参与权益保护、信用建设、质量提升等工作。推动加强行业自律，通过开展业务培训、加强宣传引导、选树正面典型等方式，引导旅游经营者依法依规诚信经营，共同维护旅游市场秩序。</w:t>
      </w:r>
    </w:p>
    <w:p w14:paraId="2A724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（五）引导社会公众参与。</w:t>
      </w:r>
      <w:r>
        <w:rPr>
          <w:rFonts w:hint="eastAsia" w:ascii="仿宋_GB2312" w:hAnsi="仿宋_GB2312" w:eastAsia="仿宋_GB2312" w:cs="仿宋_GB2312"/>
          <w:color w:val="000000"/>
          <w:kern w:val="0"/>
          <w:sz w:val="32"/>
          <w:szCs w:val="32"/>
          <w:lang w:val="en-US" w:eastAsia="zh-CN" w:bidi="ar"/>
        </w:rPr>
        <w:t>充分发挥12345政务服务便民热线及各类投诉平台作用，完善旅游投诉处理机制，深入推进旅游纠纷多元化解。强化社会监督，鼓励社会各界积极提供旅游违法违规行为线索。加强宣传引导，营造有利于旅游市场规范健康发展的社会环境。倡导游客理性消费、文明出游，加强旅游不文明行为监督管理。</w:t>
      </w:r>
    </w:p>
    <w:p w14:paraId="5F24C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Style w:val="8"/>
          <w:rFonts w:hint="eastAsia" w:ascii="黑体" w:hAnsi="黑体" w:eastAsia="黑体" w:cs="黑体"/>
          <w:i w:val="0"/>
          <w:iCs w:val="0"/>
          <w:caps w:val="0"/>
          <w:color w:val="333333"/>
          <w:spacing w:val="0"/>
          <w:sz w:val="32"/>
          <w:szCs w:val="32"/>
          <w:shd w:val="clear" w:fill="FFFFFF"/>
        </w:rPr>
      </w:pPr>
      <w:r>
        <w:rPr>
          <w:rStyle w:val="8"/>
          <w:rFonts w:hint="eastAsia" w:ascii="黑体" w:hAnsi="黑体" w:eastAsia="黑体" w:cs="黑体"/>
          <w:i w:val="0"/>
          <w:iCs w:val="0"/>
          <w:caps w:val="0"/>
          <w:color w:val="333333"/>
          <w:spacing w:val="0"/>
          <w:sz w:val="32"/>
          <w:szCs w:val="32"/>
          <w:shd w:val="clear" w:fill="FFFFFF"/>
        </w:rPr>
        <w:t>二、完善旅游市场综合监管机制</w:t>
      </w:r>
    </w:p>
    <w:p w14:paraId="5A2BDD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（六）健全法律规范体系。</w:t>
      </w:r>
      <w:r>
        <w:rPr>
          <w:rFonts w:hint="eastAsia" w:ascii="仿宋_GB2312" w:hAnsi="仿宋_GB2312" w:eastAsia="仿宋_GB2312" w:cs="仿宋_GB2312"/>
          <w:color w:val="000000"/>
          <w:kern w:val="0"/>
          <w:sz w:val="32"/>
          <w:szCs w:val="32"/>
          <w:lang w:val="en-US" w:eastAsia="zh-CN" w:bidi="ar"/>
        </w:rPr>
        <w:t>推动《中华人民共和国旅游法》等法律法规制修订工作。动态调整文化市场综合行政执法事项指导目录。加强对旅游市场新业态、新场景的分析研判，及时研究出台针对性监管措施。</w:t>
      </w:r>
    </w:p>
    <w:p w14:paraId="200CE8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（七）加强监管检查和执法协作。</w:t>
      </w:r>
      <w:r>
        <w:rPr>
          <w:rFonts w:hint="eastAsia" w:ascii="仿宋_GB2312" w:hAnsi="仿宋_GB2312" w:eastAsia="仿宋_GB2312" w:cs="仿宋_GB2312"/>
          <w:color w:val="000000"/>
          <w:kern w:val="0"/>
          <w:sz w:val="32"/>
          <w:szCs w:val="32"/>
          <w:lang w:val="en-US" w:eastAsia="zh-CN" w:bidi="ar"/>
        </w:rPr>
        <w:t>各相关部门在职责范围内，通过网络巡查、暗访抽查等方式加强日常监管。稳步推进跨部门、跨区域联合检查和执法协作。发现涉及多部门监管职责的问题线索，及时协同相关部门开展调查，依法依规进行处理。加强行政执法与刑事司法双向衔接。</w:t>
      </w:r>
    </w:p>
    <w:p w14:paraId="11963C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宋体" w:hAnsi="宋体" w:eastAsia="宋体" w:cs="宋体"/>
          <w:i w:val="0"/>
          <w:iCs w:val="0"/>
          <w:caps w:val="0"/>
          <w:color w:val="333333"/>
          <w:spacing w:val="0"/>
          <w:sz w:val="32"/>
          <w:szCs w:val="32"/>
        </w:rPr>
      </w:pPr>
      <w:r>
        <w:rPr>
          <w:rFonts w:hint="eastAsia" w:ascii="楷体" w:hAnsi="楷体" w:eastAsia="楷体" w:cs="楷体"/>
          <w:color w:val="000000"/>
          <w:kern w:val="0"/>
          <w:sz w:val="32"/>
          <w:szCs w:val="32"/>
          <w:lang w:val="en-US" w:eastAsia="zh-CN" w:bidi="ar"/>
        </w:rPr>
        <w:t>（八）完善信息化监管体系。</w:t>
      </w:r>
      <w:r>
        <w:rPr>
          <w:rFonts w:hint="eastAsia" w:ascii="仿宋_GB2312" w:hAnsi="仿宋_GB2312" w:eastAsia="仿宋_GB2312" w:cs="仿宋_GB2312"/>
          <w:color w:val="000000"/>
          <w:kern w:val="0"/>
          <w:sz w:val="32"/>
          <w:szCs w:val="32"/>
          <w:lang w:val="en-US" w:eastAsia="zh-CN" w:bidi="ar"/>
        </w:rPr>
        <w:t>充分发挥全国旅游监管服务平台作用，强化旅游团队信息填报和电子合同归集。开展大数据监测和风险预警，增强数字化监管效能。推进部门间数据资源共享，提升平台信息服务和应急指挥能力</w:t>
      </w:r>
      <w:r>
        <w:rPr>
          <w:rFonts w:hint="eastAsia" w:ascii="宋体" w:hAnsi="宋体" w:eastAsia="宋体" w:cs="宋体"/>
          <w:i w:val="0"/>
          <w:iCs w:val="0"/>
          <w:caps w:val="0"/>
          <w:color w:val="333333"/>
          <w:spacing w:val="0"/>
          <w:sz w:val="32"/>
          <w:szCs w:val="32"/>
          <w:shd w:val="clear" w:fill="FFFFFF"/>
        </w:rPr>
        <w:t>。</w:t>
      </w:r>
    </w:p>
    <w:p w14:paraId="0E6FB5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Style w:val="8"/>
          <w:rFonts w:hint="eastAsia" w:ascii="黑体" w:hAnsi="黑体" w:eastAsia="黑体" w:cs="黑体"/>
          <w:i w:val="0"/>
          <w:iCs w:val="0"/>
          <w:caps w:val="0"/>
          <w:color w:val="333333"/>
          <w:spacing w:val="0"/>
          <w:sz w:val="32"/>
          <w:szCs w:val="32"/>
          <w:shd w:val="clear" w:fill="FFFFFF"/>
        </w:rPr>
      </w:pPr>
      <w:r>
        <w:rPr>
          <w:rStyle w:val="8"/>
          <w:rFonts w:hint="eastAsia" w:ascii="黑体" w:hAnsi="黑体" w:eastAsia="黑体" w:cs="黑体"/>
          <w:i w:val="0"/>
          <w:iCs w:val="0"/>
          <w:caps w:val="0"/>
          <w:color w:val="333333"/>
          <w:spacing w:val="0"/>
          <w:sz w:val="32"/>
          <w:szCs w:val="32"/>
          <w:shd w:val="clear" w:fill="FFFFFF"/>
        </w:rPr>
        <w:t>三、全面提高旅游市场综合监管水平</w:t>
      </w:r>
    </w:p>
    <w:p w14:paraId="57D31A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（九）提升旅游标准化水平。</w:t>
      </w:r>
      <w:r>
        <w:rPr>
          <w:rFonts w:hint="eastAsia" w:ascii="仿宋_GB2312" w:hAnsi="仿宋_GB2312" w:eastAsia="仿宋_GB2312" w:cs="仿宋_GB2312"/>
          <w:color w:val="000000"/>
          <w:kern w:val="0"/>
          <w:sz w:val="32"/>
          <w:szCs w:val="32"/>
          <w:lang w:val="en-US" w:eastAsia="zh-CN" w:bidi="ar"/>
        </w:rPr>
        <w:t>完善旅游标准体系，推进国家标准、行业标准和地方标准制修订工作，有序开展涉及旅游新业态、新产品管理和服务的标准研制。推动旅游标准实施应用和试点工作，提升旅游产品质量和服务水平。</w:t>
      </w:r>
    </w:p>
    <w:p w14:paraId="2DF729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（十）提升信用监管效能。</w:t>
      </w:r>
      <w:r>
        <w:rPr>
          <w:rFonts w:hint="eastAsia" w:ascii="仿宋_GB2312" w:hAnsi="仿宋_GB2312" w:eastAsia="仿宋_GB2312" w:cs="仿宋_GB2312"/>
          <w:color w:val="000000"/>
          <w:kern w:val="0"/>
          <w:sz w:val="32"/>
          <w:szCs w:val="32"/>
          <w:lang w:val="en-US" w:eastAsia="zh-CN" w:bidi="ar"/>
        </w:rPr>
        <w:t>健全旅游市场信用体系和监管制度。完善行业信用记录，依法依规开展失信主体认定，推进信用承诺、信用评价、信用修复等工作，实施分级分类监管。加强部门间信用信息共享，健全守信激励和失信惩戒机制。拓展旅游市场信用应用场景，发展信用经济。大力弘扬诚信文化。</w:t>
      </w:r>
    </w:p>
    <w:p w14:paraId="5064BE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（十一）创新质量监管方式。</w:t>
      </w:r>
      <w:r>
        <w:rPr>
          <w:rFonts w:hint="eastAsia" w:ascii="仿宋_GB2312" w:hAnsi="仿宋_GB2312" w:eastAsia="仿宋_GB2312" w:cs="仿宋_GB2312"/>
          <w:color w:val="000000"/>
          <w:kern w:val="0"/>
          <w:sz w:val="32"/>
          <w:szCs w:val="32"/>
          <w:lang w:val="en-US" w:eastAsia="zh-CN" w:bidi="ar"/>
        </w:rPr>
        <w:t>优化旅游服务质量提升政策措施，夯实旅游服务质量基础。深入实施旅游服务质量提升行动，强化旅游经营者质量主体责任，培育和壮大优质服务品牌。推行服务质量监测评价，建立健全旅游市场服务质量评价体系。</w:t>
      </w:r>
    </w:p>
    <w:p w14:paraId="22069F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（十二）提升旅游市场执法水平。</w:t>
      </w:r>
      <w:r>
        <w:rPr>
          <w:rFonts w:hint="eastAsia" w:ascii="仿宋_GB2312" w:hAnsi="仿宋_GB2312" w:eastAsia="仿宋_GB2312" w:cs="仿宋_GB2312"/>
          <w:color w:val="000000"/>
          <w:kern w:val="0"/>
          <w:sz w:val="32"/>
          <w:szCs w:val="32"/>
          <w:lang w:val="en-US" w:eastAsia="zh-CN" w:bidi="ar"/>
        </w:rPr>
        <w:t>构建旅游市场执法协调监督工作体系，创新常态化长效化执法监督方式。强化部门协调联动，定期组织形势分析研判，联合开展旅游市场专项整治，增强执法针对性、有效性。推动旅游市场执法数智化转型升级，提升智慧执法水平。</w:t>
      </w:r>
    </w:p>
    <w:p w14:paraId="33E11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Style w:val="8"/>
          <w:rFonts w:hint="eastAsia" w:ascii="黑体" w:hAnsi="黑体" w:eastAsia="黑体" w:cs="黑体"/>
          <w:i w:val="0"/>
          <w:iCs w:val="0"/>
          <w:caps w:val="0"/>
          <w:color w:val="333333"/>
          <w:spacing w:val="0"/>
          <w:sz w:val="32"/>
          <w:szCs w:val="32"/>
          <w:shd w:val="clear" w:fill="FFFFFF"/>
        </w:rPr>
      </w:pPr>
      <w:r>
        <w:rPr>
          <w:rStyle w:val="8"/>
          <w:rFonts w:hint="eastAsia" w:ascii="黑体" w:hAnsi="黑体" w:eastAsia="黑体" w:cs="黑体"/>
          <w:i w:val="0"/>
          <w:iCs w:val="0"/>
          <w:caps w:val="0"/>
          <w:color w:val="333333"/>
          <w:spacing w:val="0"/>
          <w:sz w:val="32"/>
          <w:szCs w:val="32"/>
          <w:shd w:val="clear" w:fill="FFFFFF"/>
        </w:rPr>
        <w:t>四、增强旅游市场综合监管保障能力</w:t>
      </w:r>
    </w:p>
    <w:p w14:paraId="43F54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（十三）加强组织实施。</w:t>
      </w:r>
      <w:r>
        <w:rPr>
          <w:rFonts w:hint="eastAsia" w:ascii="仿宋_GB2312" w:hAnsi="仿宋_GB2312" w:eastAsia="仿宋_GB2312" w:cs="仿宋_GB2312"/>
          <w:color w:val="000000"/>
          <w:kern w:val="0"/>
          <w:sz w:val="32"/>
          <w:szCs w:val="32"/>
          <w:lang w:val="en-US" w:eastAsia="zh-CN" w:bidi="ar"/>
        </w:rPr>
        <w:t>各地区各有关部门要切实提高政治站位，充分认识进一步加强旅游市场综合监管的重要意义。加强统筹协调，健全长效机制，细化工作举措，确保取得实效。对监管不力、推诿扯皮的，要依规依纪依法严肃追责问责。</w:t>
      </w:r>
    </w:p>
    <w:p w14:paraId="5F3132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（十四）加强基础保障。</w:t>
      </w:r>
      <w:r>
        <w:rPr>
          <w:rFonts w:hint="eastAsia" w:ascii="仿宋_GB2312" w:hAnsi="仿宋_GB2312" w:eastAsia="仿宋_GB2312" w:cs="仿宋_GB2312"/>
          <w:color w:val="000000"/>
          <w:kern w:val="0"/>
          <w:sz w:val="32"/>
          <w:szCs w:val="32"/>
          <w:lang w:val="en-US" w:eastAsia="zh-CN" w:bidi="ar"/>
        </w:rPr>
        <w:t>优化政策供给，加强监管政策措施的协同性、有效性和可操作性，既要防止出现监管漏洞，又要避免政策叠加造成不利影响。科学配置监管力量，加强技术、设备等保障。分层级分专题组织开展履职能力培训，加强人才队伍建设。</w:t>
      </w:r>
    </w:p>
    <w:p w14:paraId="5F335A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（十五）加强宣传引导。</w:t>
      </w:r>
      <w:r>
        <w:rPr>
          <w:rFonts w:hint="eastAsia" w:ascii="仿宋_GB2312" w:hAnsi="仿宋_GB2312" w:eastAsia="仿宋_GB2312" w:cs="仿宋_GB2312"/>
          <w:color w:val="000000"/>
          <w:kern w:val="0"/>
          <w:sz w:val="32"/>
          <w:szCs w:val="32"/>
          <w:lang w:val="en-US" w:eastAsia="zh-CN" w:bidi="ar"/>
        </w:rPr>
        <w:t>各相关部门要加强旅游相关法律法规普法宣传教育。积极宣传报道规范旅游市场秩序的正面典型，开展建设性舆论监督。及时阐释和解读有关监管政策措施，积极回应各界关切，营造良好社会环境。开展文明旅游宣传引导。</w:t>
      </w:r>
    </w:p>
    <w:p w14:paraId="2B682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（十六）加强总结评估。</w:t>
      </w:r>
      <w:r>
        <w:rPr>
          <w:rFonts w:hint="eastAsia" w:ascii="仿宋_GB2312" w:hAnsi="仿宋_GB2312" w:eastAsia="仿宋_GB2312" w:cs="仿宋_GB2312"/>
          <w:color w:val="000000"/>
          <w:kern w:val="0"/>
          <w:sz w:val="32"/>
          <w:szCs w:val="32"/>
          <w:lang w:val="en-US" w:eastAsia="zh-CN" w:bidi="ar"/>
        </w:rPr>
        <w:t>文化和旅游部会同相关部门加强跟踪分析和督促指导，总结推广好的经验做法。重大事项及时按程序向党中央、国务院请示报告。</w:t>
      </w:r>
    </w:p>
    <w:p w14:paraId="519CD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本通知自印发之日起施行。《国务院办公厅关于加强旅游市场综合监管的通知》（国办发〔2016〕5号）同时废止。</w:t>
      </w:r>
    </w:p>
    <w:p w14:paraId="240D7A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国务院办公厅　 　　　  </w:t>
      </w:r>
    </w:p>
    <w:p w14:paraId="32F7D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2025年9月11日　　　　  </w:t>
      </w:r>
    </w:p>
    <w:p w14:paraId="2B3359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4" w:afterAutospacing="0" w:line="500" w:lineRule="exact"/>
        <w:ind w:left="0" w:right="0" w:firstLine="42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（此件公开发布）</w:t>
      </w:r>
    </w:p>
    <w:p w14:paraId="7E4F4DBC">
      <w:pPr>
        <w:widowControl/>
        <w:jc w:val="left"/>
        <w:rPr>
          <w:rFonts w:ascii="Arial"/>
          <w:sz w:val="21"/>
        </w:rPr>
      </w:pPr>
      <w:r>
        <w:rPr>
          <w:rFonts w:hint="eastAsia" w:ascii="仿宋_GB2312" w:hAnsi="仿宋_GB2312" w:eastAsia="仿宋_GB2312" w:cs="仿宋_GB2312"/>
          <w:color w:val="000000"/>
          <w:kern w:val="0"/>
          <w:sz w:val="32"/>
          <w:szCs w:val="32"/>
          <w:lang w:val="en-US" w:eastAsia="zh-CN" w:bidi="ar"/>
        </w:rPr>
        <w:t>附件2</w:t>
      </w:r>
    </w:p>
    <w:p w14:paraId="49244866">
      <w:pPr>
        <w:spacing w:line="262" w:lineRule="auto"/>
        <w:rPr>
          <w:rFonts w:ascii="Arial"/>
          <w:sz w:val="21"/>
        </w:rPr>
      </w:pPr>
    </w:p>
    <w:p w14:paraId="2625F129">
      <w:pPr>
        <w:spacing w:before="166" w:line="211" w:lineRule="auto"/>
        <w:ind w:left="394"/>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关于印发《进一步加强旅游市场综合治理</w:t>
      </w:r>
    </w:p>
    <w:p w14:paraId="3CF1BF6A">
      <w:pPr>
        <w:spacing w:before="113" w:line="210" w:lineRule="auto"/>
        <w:ind w:left="2599"/>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行动方案》的通知</w:t>
      </w:r>
    </w:p>
    <w:p w14:paraId="1009D24D">
      <w:pPr>
        <w:spacing w:line="353" w:lineRule="auto"/>
        <w:rPr>
          <w:rFonts w:ascii="Arial"/>
          <w:sz w:val="21"/>
        </w:rPr>
      </w:pPr>
    </w:p>
    <w:p w14:paraId="20228713">
      <w:pPr>
        <w:spacing w:line="354" w:lineRule="auto"/>
        <w:rPr>
          <w:rFonts w:ascii="Arial"/>
          <w:sz w:val="21"/>
        </w:rPr>
      </w:pPr>
    </w:p>
    <w:p w14:paraId="34D400BF">
      <w:pPr>
        <w:pStyle w:val="2"/>
        <w:spacing w:before="102" w:line="221" w:lineRule="auto"/>
        <w:ind w:left="8"/>
      </w:pPr>
      <w:r>
        <w:rPr>
          <w:spacing w:val="8"/>
        </w:rPr>
        <w:t>省旅游产业发展领导小组各成员单位：</w:t>
      </w:r>
    </w:p>
    <w:p w14:paraId="3F4B5E8F">
      <w:pPr>
        <w:pStyle w:val="2"/>
        <w:spacing w:before="188" w:line="332" w:lineRule="auto"/>
        <w:ind w:left="11" w:right="129" w:firstLine="616"/>
      </w:pPr>
      <w:r>
        <w:rPr>
          <w:spacing w:val="13"/>
        </w:rPr>
        <w:t>《进一步加强旅游市场综合治理行动方案》已经省旅游产</w:t>
      </w:r>
      <w:r>
        <w:rPr>
          <w:spacing w:val="10"/>
        </w:rPr>
        <w:t xml:space="preserve"> </w:t>
      </w:r>
      <w:r>
        <w:rPr>
          <w:spacing w:val="9"/>
        </w:rPr>
        <w:t>业发展领导小组同意，现印发给你们，请认</w:t>
      </w:r>
      <w:r>
        <w:rPr>
          <w:spacing w:val="8"/>
        </w:rPr>
        <w:t>真抓好贯彻落实。</w:t>
      </w:r>
    </w:p>
    <w:p w14:paraId="06E734B0">
      <w:pPr>
        <w:spacing w:line="461" w:lineRule="auto"/>
        <w:rPr>
          <w:rFonts w:ascii="Arial"/>
          <w:sz w:val="21"/>
        </w:rPr>
      </w:pPr>
    </w:p>
    <w:p w14:paraId="32D1AD63">
      <w:pPr>
        <w:pStyle w:val="2"/>
        <w:spacing w:before="101" w:line="221" w:lineRule="auto"/>
        <w:ind w:left="660"/>
      </w:pPr>
      <w:r>
        <w:rPr>
          <w:spacing w:val="8"/>
        </w:rPr>
        <w:t>附件：进一步加强旅游市场综合治理行动方案</w:t>
      </w:r>
    </w:p>
    <w:p w14:paraId="2EED1D02">
      <w:pPr>
        <w:rPr>
          <w:rFonts w:ascii="Arial"/>
          <w:sz w:val="21"/>
        </w:rPr>
      </w:pPr>
    </w:p>
    <w:p w14:paraId="2E3E573B">
      <w:pPr>
        <w:rPr>
          <w:rFonts w:ascii="Arial"/>
          <w:sz w:val="21"/>
        </w:rPr>
      </w:pPr>
    </w:p>
    <w:p w14:paraId="546C04C7">
      <w:pPr>
        <w:rPr>
          <w:rFonts w:ascii="Arial"/>
          <w:sz w:val="21"/>
        </w:rPr>
      </w:pPr>
    </w:p>
    <w:p w14:paraId="38047609">
      <w:pPr>
        <w:rPr>
          <w:rFonts w:ascii="Arial"/>
          <w:sz w:val="21"/>
        </w:rPr>
      </w:pPr>
    </w:p>
    <w:p w14:paraId="6DD1C4D4">
      <w:pPr>
        <w:spacing w:line="241" w:lineRule="auto"/>
        <w:rPr>
          <w:rFonts w:ascii="Arial"/>
          <w:sz w:val="21"/>
        </w:rPr>
      </w:pPr>
    </w:p>
    <w:p w14:paraId="15123D5A">
      <w:pPr>
        <w:pStyle w:val="2"/>
        <w:spacing w:before="101" w:line="222" w:lineRule="auto"/>
        <w:ind w:left="3418"/>
      </w:pPr>
      <w:r>
        <w:rPr>
          <w:spacing w:val="7"/>
        </w:rPr>
        <w:t>吉林省旅游产业发展领导小组</w:t>
      </w:r>
    </w:p>
    <w:p w14:paraId="016CB795">
      <w:pPr>
        <w:pStyle w:val="2"/>
        <w:spacing w:before="187" w:line="222" w:lineRule="auto"/>
        <w:ind w:left="3475"/>
      </w:pPr>
      <w:r>
        <w:rPr>
          <w:spacing w:val="9"/>
        </w:rPr>
        <w:t>（吉林省文化和旅游厅代章）</w:t>
      </w:r>
    </w:p>
    <w:p w14:paraId="14B62A32">
      <w:pPr>
        <w:pStyle w:val="2"/>
        <w:spacing w:before="189" w:line="222" w:lineRule="auto"/>
        <w:ind w:left="4414"/>
      </w:pPr>
      <w:r>
        <w:rPr>
          <w:spacing w:val="-8"/>
        </w:rPr>
        <w:t>2025</w:t>
      </w:r>
      <w:r>
        <w:rPr>
          <w:spacing w:val="-56"/>
        </w:rPr>
        <w:t xml:space="preserve"> </w:t>
      </w:r>
      <w:r>
        <w:rPr>
          <w:spacing w:val="-8"/>
        </w:rPr>
        <w:t>年</w:t>
      </w:r>
      <w:r>
        <w:rPr>
          <w:spacing w:val="-46"/>
        </w:rPr>
        <w:t xml:space="preserve"> </w:t>
      </w:r>
      <w:r>
        <w:rPr>
          <w:spacing w:val="-8"/>
        </w:rPr>
        <w:t>9</w:t>
      </w:r>
      <w:r>
        <w:rPr>
          <w:spacing w:val="-46"/>
        </w:rPr>
        <w:t xml:space="preserve"> </w:t>
      </w:r>
      <w:r>
        <w:rPr>
          <w:spacing w:val="-8"/>
        </w:rPr>
        <w:t>月</w:t>
      </w:r>
      <w:r>
        <w:rPr>
          <w:spacing w:val="-38"/>
        </w:rPr>
        <w:t xml:space="preserve"> </w:t>
      </w:r>
      <w:r>
        <w:rPr>
          <w:spacing w:val="-8"/>
        </w:rPr>
        <w:t>30 日</w:t>
      </w:r>
    </w:p>
    <w:p w14:paraId="1B497DDD">
      <w:pPr>
        <w:pStyle w:val="2"/>
        <w:spacing w:before="186" w:line="222" w:lineRule="auto"/>
        <w:ind w:left="1"/>
      </w:pPr>
      <w:r>
        <w:rPr>
          <w:b/>
          <w:bCs/>
          <w:spacing w:val="-8"/>
        </w:rPr>
        <w:t>抄送：</w:t>
      </w:r>
      <w:r>
        <w:rPr>
          <w:spacing w:val="-8"/>
        </w:rPr>
        <w:t>各市（州）人民政府、长白山管委会、梅河口市人民政府</w:t>
      </w:r>
    </w:p>
    <w:tbl>
      <w:tblPr>
        <w:tblStyle w:val="9"/>
        <w:tblW w:w="8647"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59"/>
        <w:gridCol w:w="4388"/>
      </w:tblGrid>
      <w:tr w14:paraId="1E9B2DE2">
        <w:trPr>
          <w:trHeight w:val="565" w:hRule="atLeast"/>
        </w:trPr>
        <w:tc>
          <w:tcPr>
            <w:tcW w:w="4259" w:type="dxa"/>
            <w:tcBorders>
              <w:top w:val="single" w:color="000000" w:sz="8" w:space="0"/>
              <w:bottom w:val="single" w:color="000000" w:sz="8" w:space="0"/>
            </w:tcBorders>
            <w:vAlign w:val="top"/>
          </w:tcPr>
          <w:p w14:paraId="0485AEB9">
            <w:pPr>
              <w:spacing w:before="161" w:line="218" w:lineRule="auto"/>
              <w:ind w:left="204"/>
              <w:rPr>
                <w:rFonts w:ascii="仿宋" w:hAnsi="仿宋" w:eastAsia="仿宋" w:cs="仿宋"/>
                <w:sz w:val="28"/>
                <w:szCs w:val="28"/>
              </w:rPr>
            </w:pPr>
            <w:r>
              <w:rPr>
                <w:rFonts w:ascii="仿宋" w:hAnsi="仿宋" w:eastAsia="仿宋" w:cs="仿宋"/>
                <w:spacing w:val="-3"/>
                <w:sz w:val="28"/>
                <w:szCs w:val="28"/>
              </w:rPr>
              <w:t>吉林省文化和旅游厅</w:t>
            </w:r>
          </w:p>
        </w:tc>
        <w:tc>
          <w:tcPr>
            <w:tcW w:w="4388" w:type="dxa"/>
            <w:tcBorders>
              <w:top w:val="single" w:color="000000" w:sz="8" w:space="0"/>
              <w:bottom w:val="single" w:color="000000" w:sz="8" w:space="0"/>
            </w:tcBorders>
            <w:vAlign w:val="top"/>
          </w:tcPr>
          <w:p w14:paraId="5CAB32CC">
            <w:pPr>
              <w:spacing w:before="162" w:line="217" w:lineRule="auto"/>
              <w:jc w:val="right"/>
              <w:rPr>
                <w:rFonts w:ascii="仿宋" w:hAnsi="仿宋" w:eastAsia="仿宋" w:cs="仿宋"/>
                <w:sz w:val="28"/>
                <w:szCs w:val="28"/>
              </w:rPr>
            </w:pPr>
            <w:r>
              <w:rPr>
                <w:rFonts w:ascii="仿宋" w:hAnsi="仿宋" w:eastAsia="仿宋" w:cs="仿宋"/>
                <w:spacing w:val="-15"/>
                <w:sz w:val="28"/>
                <w:szCs w:val="28"/>
              </w:rPr>
              <w:t>2025</w:t>
            </w:r>
            <w:r>
              <w:rPr>
                <w:rFonts w:ascii="仿宋" w:hAnsi="仿宋" w:eastAsia="仿宋" w:cs="仿宋"/>
                <w:spacing w:val="-49"/>
                <w:sz w:val="28"/>
                <w:szCs w:val="28"/>
              </w:rPr>
              <w:t xml:space="preserve"> </w:t>
            </w:r>
            <w:r>
              <w:rPr>
                <w:rFonts w:ascii="仿宋" w:hAnsi="仿宋" w:eastAsia="仿宋" w:cs="仿宋"/>
                <w:spacing w:val="-15"/>
                <w:sz w:val="28"/>
                <w:szCs w:val="28"/>
              </w:rPr>
              <w:t>年</w:t>
            </w:r>
            <w:r>
              <w:rPr>
                <w:rFonts w:ascii="仿宋" w:hAnsi="仿宋" w:eastAsia="仿宋" w:cs="仿宋"/>
                <w:spacing w:val="-47"/>
                <w:sz w:val="28"/>
                <w:szCs w:val="28"/>
              </w:rPr>
              <w:t xml:space="preserve"> </w:t>
            </w:r>
            <w:r>
              <w:rPr>
                <w:rFonts w:ascii="仿宋" w:hAnsi="仿宋" w:eastAsia="仿宋" w:cs="仿宋"/>
                <w:spacing w:val="-15"/>
                <w:sz w:val="28"/>
                <w:szCs w:val="28"/>
              </w:rPr>
              <w:t>9</w:t>
            </w:r>
            <w:r>
              <w:rPr>
                <w:rFonts w:ascii="仿宋" w:hAnsi="仿宋" w:eastAsia="仿宋" w:cs="仿宋"/>
                <w:spacing w:val="-44"/>
                <w:sz w:val="28"/>
                <w:szCs w:val="28"/>
              </w:rPr>
              <w:t xml:space="preserve"> </w:t>
            </w:r>
            <w:r>
              <w:rPr>
                <w:rFonts w:ascii="仿宋" w:hAnsi="仿宋" w:eastAsia="仿宋" w:cs="仿宋"/>
                <w:spacing w:val="-15"/>
                <w:sz w:val="28"/>
                <w:szCs w:val="28"/>
              </w:rPr>
              <w:t>月</w:t>
            </w:r>
            <w:r>
              <w:rPr>
                <w:rFonts w:ascii="仿宋" w:hAnsi="仿宋" w:eastAsia="仿宋" w:cs="仿宋"/>
                <w:spacing w:val="-40"/>
                <w:sz w:val="28"/>
                <w:szCs w:val="28"/>
              </w:rPr>
              <w:t xml:space="preserve"> </w:t>
            </w:r>
            <w:r>
              <w:rPr>
                <w:rFonts w:ascii="仿宋" w:hAnsi="仿宋" w:eastAsia="仿宋" w:cs="仿宋"/>
                <w:spacing w:val="-15"/>
                <w:sz w:val="28"/>
                <w:szCs w:val="28"/>
              </w:rPr>
              <w:t>30 日印发</w:t>
            </w:r>
          </w:p>
        </w:tc>
      </w:tr>
    </w:tbl>
    <w:p w14:paraId="5B7751B7">
      <w:pPr>
        <w:jc w:val="center"/>
        <w:rPr>
          <w:rFonts w:ascii="Arial" w:hAnsi="Arial" w:eastAsia="Arial" w:cs="Arial"/>
          <w:sz w:val="21"/>
          <w:szCs w:val="21"/>
        </w:rPr>
        <w:sectPr>
          <w:footerReference r:id="rId3" w:type="default"/>
          <w:pgSz w:w="11916" w:h="16848"/>
          <w:pgMar w:top="1432" w:right="1468" w:bottom="1263" w:left="1602" w:header="0" w:footer="948" w:gutter="0"/>
          <w:cols w:space="720" w:num="1"/>
        </w:sectPr>
      </w:pPr>
    </w:p>
    <w:p w14:paraId="7B04DB58">
      <w:pPr>
        <w:spacing w:before="166" w:line="211" w:lineRule="auto"/>
        <w:ind w:left="394"/>
        <w:outlineLvl w:val="0"/>
        <w:rPr>
          <w:rFonts w:hint="eastAsia"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rPr>
        <w:t>进一步加强旅游市场综合治理行动方案</w:t>
      </w:r>
    </w:p>
    <w:p w14:paraId="65C23D10">
      <w:pPr>
        <w:spacing w:line="340" w:lineRule="auto"/>
        <w:rPr>
          <w:rFonts w:hint="eastAsia" w:ascii="仿宋" w:hAnsi="仿宋" w:eastAsia="仿宋" w:cs="仿宋"/>
          <w:sz w:val="32"/>
          <w:szCs w:val="32"/>
        </w:rPr>
      </w:pPr>
    </w:p>
    <w:p w14:paraId="6EF980BD">
      <w:pPr>
        <w:spacing w:line="3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为进一步提高旅游市场管理和服务水平，贯彻落实《国务院办公厅关于进一步加强旅游市场综合监管的通知》（ 国办函〔2025〕95 号）精神，推动全省旅游业高质量发展行稳致远，制定本行动方案。</w:t>
      </w:r>
    </w:p>
    <w:p w14:paraId="573C786D">
      <w:pPr>
        <w:spacing w:line="3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391C419F">
      <w:pPr>
        <w:spacing w:line="3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坚持以习近平新时代中国特色社会主义思想为指导，全面 贯彻落实省委、省政府关于旅游工作部署要求，加快建立权责明确、服务提升、执法有力、市场规范、保障有效的旅游市场综合治理体系，统筹政府与市场、发展与安全，着力解决扰乱旅游市场秩序、侵害游客权益以及“一床难求”“一车难打”“外卖难定”等突出问题，不断提升旅游接待能力、监管水平和服务质量，守牢安全生产底线红线，加快把文化旅游业培育成支柱产业。</w:t>
      </w:r>
    </w:p>
    <w:p w14:paraId="2395D1B7">
      <w:pPr>
        <w:spacing w:line="3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整治行动一年见效，之后巩固拓展。到2027年底，旅游服务质量和游客满意度明显提高，现代旅游治理更加高效，共治共享旅游环境更加和谐，吉林旅游品牌知名度、美誉度、影响力显著跃升。</w:t>
      </w:r>
    </w:p>
    <w:p w14:paraId="29FC66C1">
      <w:pPr>
        <w:spacing w:line="3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二、实施重点行动</w:t>
      </w:r>
    </w:p>
    <w:p w14:paraId="5F5E18FF">
      <w:pPr>
        <w:spacing w:line="3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照“属地管理、部门联动、各司其职、齐抓共管”的原则，各地对本行政区域的旅游市场监督管理进行统筹协调，营造诚信、公平、有序的旅游市场环境。文化和旅游、通信、公安、交通、商务、税务、市场监管、体育、网信、林业和草原、政数、民航等部门按照《国务院办公厅关于进一步加强旅游市场综合监管的通知》明确的职责分工，做好指导、协调、规范、监督检查等工作。</w:t>
      </w:r>
    </w:p>
    <w:p w14:paraId="2A7733DE">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 xml:space="preserve">（一）餐饮供给提质行动。 </w:t>
      </w:r>
      <w:r>
        <w:rPr>
          <w:rFonts w:hint="eastAsia" w:ascii="仿宋" w:hAnsi="仿宋" w:eastAsia="仿宋" w:cs="仿宋"/>
          <w:sz w:val="32"/>
          <w:szCs w:val="32"/>
        </w:rPr>
        <w:t>鼓励各地依托本地特色资源， 开发特色美食，丰富消费供给。严厉查处采购来源不明原料、使用过期变质食材、非法添加、销售不符合食品安全标准食品行为。严厉查处后厨、用餐环境卫生脏乱差，提供消毒不合格餐具等行为。严厉查处明码标价不规范、“阴阳价单”、低标高结等行为。</w:t>
      </w:r>
    </w:p>
    <w:p w14:paraId="7141C2BE">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（二）住宿接待升级行动。</w:t>
      </w:r>
      <w:r>
        <w:rPr>
          <w:rFonts w:hint="eastAsia" w:ascii="仿宋" w:hAnsi="仿宋" w:eastAsia="仿宋" w:cs="仿宋"/>
          <w:sz w:val="32"/>
          <w:szCs w:val="32"/>
        </w:rPr>
        <w:t>加大住宿需求保障和供给，构建布局合理、结构优化的旅游住宿接待服务体系，解决“一床难求”问题。严厉查处未取得特种行业许可从事旅馆业经营活动的行为；严厉查处囤积房源、哄抬价格、在标价外加收费用、拒绝履行价格承诺等行为；严厉查处欺客宰客、虚假宣传、虚假广告等行为；严厉查处宾馆、旅店等住宿场所违反《公共场所卫生管理条例》相关规定的行为。</w:t>
      </w:r>
    </w:p>
    <w:p w14:paraId="52040C44">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（三）便捷交通保障行动。</w:t>
      </w:r>
      <w:r>
        <w:rPr>
          <w:rFonts w:hint="eastAsia" w:ascii="仿宋" w:hAnsi="仿宋" w:eastAsia="仿宋" w:cs="仿宋"/>
          <w:sz w:val="32"/>
          <w:szCs w:val="32"/>
        </w:rPr>
        <w:t>加大旅游交通运力保障，着力完善旅游交通网络设施，提升旅游交通服务品质，解决“一车难打”问题。严厉查处民用航空企业侵害游客权益的行为，及时处理航空投诉。严厉查处未取得道路客运和出租汽车客运经营许可擅自从事营运活动；出租车违规揽客拼客、甩客、拒载、索要高价、故意绕道，不按规定使用计价器等行为。</w:t>
      </w:r>
    </w:p>
    <w:p w14:paraId="53910E27">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（四）购物环境优化行动。</w:t>
      </w:r>
      <w:r>
        <w:rPr>
          <w:rFonts w:hint="eastAsia" w:ascii="仿宋" w:hAnsi="仿宋" w:eastAsia="仿宋" w:cs="仿宋"/>
          <w:sz w:val="32"/>
          <w:szCs w:val="32"/>
        </w:rPr>
        <w:t>倡导诚信经营，服务至上理念， 营造公平、公正、诚信、透明的旅游消费环境。督促购物场所、 旅游景区等做到质价相符，自觉抵制商业贿赂。督促在线旅游平台与旅游经营者加强个人信息保护，不得以“大数据杀熟”、虚假宣传、捆绑销售等行为侵害游客权益。严厉查处“山寨”等侵犯知识产权及制售假冒伪劣商品行为；严厉查处价格欺诈、缺斤短两等行为；严厉查处电商、直播带货、网络餐饮平台等经营主体夸大功效、刷单炒信等行为。严厉查处诱导游客、强迫游客购物等行为。严厉打击旅游活动中违法出售、购买野生动物及其制品等行为。</w:t>
      </w:r>
    </w:p>
    <w:p w14:paraId="5CFDFB14">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（五）景区景点服务提升行动。</w:t>
      </w:r>
      <w:r>
        <w:rPr>
          <w:rFonts w:hint="eastAsia" w:ascii="仿宋" w:hAnsi="仿宋" w:eastAsia="仿宋" w:cs="仿宋"/>
          <w:sz w:val="32"/>
          <w:szCs w:val="32"/>
        </w:rPr>
        <w:t>加强旅游景区景点质量等级管理，整治A级旅游景区、A级乡村旅游经营单位和等级旅游民宿服务质量明显低于评定标准、服务态度不热情、文明礼貌用语不规范、讲解服务质量不高、卫生环境清理不及时、厕所管理不完善等问题，情节严重的，由评定主管部门予以降级或者撤销等级评定处理。加强对国家公园、自然保护区、自然公园等监督管理，规范自然保护地内旅游经营活动，严防穿越保护区核心区等违规行为发生。维护旅游景区、旅游交通站点及周边治安、交通秩序。</w:t>
      </w:r>
    </w:p>
    <w:p w14:paraId="27A0615E">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（六）文娱市场规范行动。</w:t>
      </w:r>
      <w:r>
        <w:rPr>
          <w:rFonts w:hint="eastAsia" w:ascii="仿宋" w:hAnsi="仿宋" w:eastAsia="仿宋" w:cs="仿宋"/>
          <w:sz w:val="32"/>
          <w:szCs w:val="32"/>
        </w:rPr>
        <w:t>落实巡演项目首演地内容审核负责制，实施大型营业性演出活动“一件事”并联审批 “一 网通办”，丰富文化娱乐产品供给。推动落实实名购票和实名入场制度，严厉查处 “黄牛”炒票、倒票等行为。加强对大型演出活动的实地检查，严禁擅自变更演员及演出内容，严禁假唱、假演奏等违法违规行为。加强网吧等文化场所管理，严厉打击违规接纳未成年人，内容低俗、媚俗、庸俗等违法违规行为。全面提高文博场馆服务接待水平。</w:t>
      </w:r>
    </w:p>
    <w:p w14:paraId="55C0090F">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（七）导游乱象专项整治行动。</w:t>
      </w:r>
      <w:r>
        <w:rPr>
          <w:rFonts w:hint="eastAsia" w:ascii="仿宋" w:hAnsi="仿宋" w:eastAsia="仿宋" w:cs="仿宋"/>
          <w:sz w:val="32"/>
          <w:szCs w:val="32"/>
        </w:rPr>
        <w:t xml:space="preserve">加强对文旅企业的宣传教育， 引导企业自觉依法纳税，合规经营， 提高服务品质，保障游客出游安全和合法权益，维护市场秩序。指导旅行社合理安排旅游行程，加强导游队伍管理，依法保障导游劳动权益。严厉查处未经许可从事旅行社业务、虚假宣传等违规经营行为。严厉查处旅行社不签订或不履行旅游合同，派遣无证导游和导游擅自改变行程等行为；低价诱骗游客、不实信息误导游客行为；不向导游支付或者不足额支付劳动报酬，要求导游垫付接待费用等行为。严厉查处未取得导游证从事导游活动、未接受旅行社委派私自承揽导游业务行为。严厉查处导游拒绝履行合同、以“人头费 ”“返点”等名义收取回扣等行为。严厉查处发布各类诱导、欺骗游客等虚假信息的违法违规网站平台、账号等。  </w:t>
      </w:r>
    </w:p>
    <w:p w14:paraId="42D13711">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（八）安全生产治本攻坚行动。</w:t>
      </w:r>
      <w:r>
        <w:rPr>
          <w:rFonts w:hint="eastAsia" w:ascii="仿宋" w:hAnsi="仿宋" w:eastAsia="仿宋" w:cs="仿宋"/>
          <w:sz w:val="32"/>
          <w:szCs w:val="32"/>
        </w:rPr>
        <w:t>责任部门排查整治人员密集场所消防设施设备损坏停用、安全出口和疏散通道不畅通、动火作业不规范等消防风险。排查整治旅游场所大型游客设施、客运索道等特种设备安全风险。排查整治在旅游景区等地经营高危险性体育项目不规范等问题。督促从事旅游客运的交通运输企业加强道路、水路交通安全管理，排查整治旅游包车相关制度要求落实不到位等问题。督促旅游景区做好森林草原防火工作。</w:t>
      </w:r>
    </w:p>
    <w:p w14:paraId="5716FDF3">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（九）涉旅舆情和投诉办理提效行动。</w:t>
      </w:r>
      <w:r>
        <w:rPr>
          <w:rFonts w:hint="eastAsia" w:ascii="仿宋" w:hAnsi="仿宋" w:eastAsia="仿宋" w:cs="仿宋"/>
          <w:sz w:val="32"/>
          <w:szCs w:val="32"/>
        </w:rPr>
        <w:t xml:space="preserve"> 进一步提升12345 热线和其他投诉渠道服务质量和效能，及时响应并妥善解决游客诉求。加强对接诉工作人员的责任意识、服务意识和专业技能的教育、培训和指导 ，对态度生冷 ，漠视游客诉求或推诿转办、延误时效的行为坚决予以纠正。 持续优化涉旅网络舆情应对工作流程，强化对涉旅网络舆情的风险评估、预案编制、监测搜集、预警通报、研判会商、分析报告、应对处置、回应引导、复盘总结，为全省旅游业高质量发展提供有力网络舆情服务保障。</w:t>
      </w:r>
    </w:p>
    <w:p w14:paraId="44610DD5">
      <w:pPr>
        <w:spacing w:line="3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三、完善体制机制</w:t>
      </w:r>
    </w:p>
    <w:p w14:paraId="38BB4CA4">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（一）完善法规政策体系。</w:t>
      </w:r>
      <w:r>
        <w:rPr>
          <w:rFonts w:hint="eastAsia" w:ascii="仿宋" w:hAnsi="仿宋" w:eastAsia="仿宋" w:cs="仿宋"/>
          <w:sz w:val="32"/>
          <w:szCs w:val="32"/>
        </w:rPr>
        <w:t>推动《吉林省旅游条例》等规 章制度修订工作。制定《文化市场综合执法双向行刑衔接制度》。 动态调整旅游市场行政执法指导目录和行政裁量基准及包容审 慎执法“ 四张清单”。加强对旅游市场新业态、新场景的分析 研判，及时研究发布针对性监管措施。</w:t>
      </w:r>
    </w:p>
    <w:p w14:paraId="4F207091">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（二）完善旅游标准体系。</w:t>
      </w:r>
      <w:r>
        <w:rPr>
          <w:rFonts w:hint="eastAsia" w:ascii="仿宋" w:hAnsi="仿宋" w:eastAsia="仿宋" w:cs="仿宋"/>
          <w:sz w:val="32"/>
          <w:szCs w:val="32"/>
        </w:rPr>
        <w:t>推进涉旅地方标准修订，开展边境旅游标准体系研究，制定出台吉林省旅游住宿评定标准， 逐步实现标准对各业态、各要素全覆盖。建立标准实施监管制度，推进旅行社、旅游民宿、文明旅游示范单位相关标准实施。</w:t>
      </w:r>
    </w:p>
    <w:p w14:paraId="15EFCA21">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（三）完善信用体系。</w:t>
      </w:r>
      <w:r>
        <w:rPr>
          <w:rFonts w:hint="eastAsia" w:ascii="仿宋" w:hAnsi="仿宋" w:eastAsia="仿宋" w:cs="仿宋"/>
          <w:sz w:val="32"/>
          <w:szCs w:val="32"/>
        </w:rPr>
        <w:t>健全旅游企业信用信息采集、评价和公开机制。拓展信用应用场景，将守信情况纳入 A 级旅游景区、星级饭店、旅行社、在线旅游经营者、旅游民宿等市场主体的资质及等级评定及扶持政策中。严格失信名单管理，坚持“应列入、尽列入”原则，对失信主体依法实施信用惩戒。实施分类监管，对守信企业给予激励措施，对失信企业加大检查频次和处罚力度，监管部门对触发信用监管制度的违法案件信息，及时依法录入信用监管系统，引导市场主体主动纠正失信行为，定期更新信用名单。</w:t>
      </w:r>
    </w:p>
    <w:p w14:paraId="1EB93D0C">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（四）健全协作机制。</w:t>
      </w:r>
      <w:r>
        <w:rPr>
          <w:rFonts w:hint="eastAsia" w:ascii="仿宋" w:hAnsi="仿宋" w:eastAsia="仿宋" w:cs="仿宋"/>
          <w:sz w:val="32"/>
          <w:szCs w:val="32"/>
        </w:rPr>
        <w:t>坚持联席会议制度。推进部门间数据资源共享。建立区域间文旅市场联合监管机制，加强跨区域执法协作，破除旅游执法区域壁垒。在旅游旺季、节假日等重点时段，组织开展联合执法行动，形成监管合力，共同维护区域文旅市场秩序。对涉及多个部门，有职责交叉的重大旅游案件， 由牵头协调部门统一组织联合调查，及时依法依规进行处理。</w:t>
      </w:r>
    </w:p>
    <w:p w14:paraId="71A85719">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（五）构建智慧监管体系。</w:t>
      </w:r>
      <w:r>
        <w:rPr>
          <w:rFonts w:hint="eastAsia" w:ascii="仿宋" w:hAnsi="仿宋" w:eastAsia="仿宋" w:cs="仿宋"/>
          <w:sz w:val="32"/>
          <w:szCs w:val="32"/>
        </w:rPr>
        <w:t>推进重点旅游景区和文化场馆综合监测与应急指挥平台建设，进一步完善视频监控、运行监测、应急调度等主要功能。加大信息化监管平台操作使用培训，扩大智慧监管手段在旅游执法中的应用。在安全隐患较高的旅游场所设置智能视频监测设施，推动自然灾害易发地的重点旅游景区配备卫星通信终端设备，实现设备、数据资源与应急管理部门共建共享。</w:t>
      </w:r>
    </w:p>
    <w:p w14:paraId="7427E77B">
      <w:pPr>
        <w:spacing w:line="3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四、保障措施</w:t>
      </w:r>
    </w:p>
    <w:p w14:paraId="14F8452B">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省旅游产业发展领导小组办公室统 筹推动工作落实，及时调度任务进展，及时发现和推动问题解决。各成员单位要结合职能，精心谋划，周密部署，明确责任分工，狠抓落实，任务到人，责任到岗，确保各项措施的操作性与持续性。省文化和旅游厅会同相关部门加强跟踪分析和督导指导，总结推广好的经验做法。重大事项及时按程序向省委、省政府请示报告。</w:t>
      </w:r>
    </w:p>
    <w:p w14:paraId="226D271D">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（二）加强基础保障。</w:t>
      </w:r>
      <w:r>
        <w:rPr>
          <w:rFonts w:hint="eastAsia" w:ascii="仿宋" w:hAnsi="仿宋" w:eastAsia="仿宋" w:cs="仿宋"/>
          <w:sz w:val="32"/>
          <w:szCs w:val="32"/>
        </w:rPr>
        <w:t>持续完善旅游市场监管的制度体系， 不断优化政策供给，避免监管盲区或重复检查，提高监管工作的精确度与效率。深入推进旅游服务质量培训制度，打造高素质旅游从业队伍。强化执法人员的专业培训，全面提升执法综合素养。</w:t>
      </w:r>
    </w:p>
    <w:p w14:paraId="73E9A820">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（三）加强宣传引导。</w:t>
      </w:r>
      <w:r>
        <w:rPr>
          <w:rFonts w:hint="eastAsia" w:ascii="仿宋" w:hAnsi="仿宋" w:eastAsia="仿宋" w:cs="仿宋"/>
          <w:sz w:val="32"/>
          <w:szCs w:val="32"/>
        </w:rPr>
        <w:t>加强对文旅企业的宣传教育，引导企业自觉遵守法律法规，诚信经营，提高服务质量。各有关成员单位要指导督促有关行业协会、服务单位、从业者，“ 自律”与 “他律”有机结合，诚信守法、规范经营。广泛宣传文旅市场秩序和安全管理的重要意义，普及文旅消费维权知识，倡导文明旅游。及时曝光文旅市场违法违规典型案例，发挥警示作用。</w:t>
      </w:r>
    </w:p>
    <w:p w14:paraId="74D019BA">
      <w:pPr>
        <w:spacing w:line="34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（四）加强监督考评。</w:t>
      </w:r>
      <w:r>
        <w:rPr>
          <w:rFonts w:hint="eastAsia" w:ascii="仿宋" w:hAnsi="仿宋" w:eastAsia="仿宋" w:cs="仿宋"/>
          <w:sz w:val="32"/>
          <w:szCs w:val="32"/>
        </w:rPr>
        <w:t>各成员单位要建立常态化的监督考评办法，自觉接受社会监督，定期对各项工作落实情况进行督导和评估。对履职不力、搞形式主义、推诿塞责的领导干部和工作人员及时督促整改，造成损失和不良影响的依法依纪进行问责。</w:t>
      </w:r>
    </w:p>
    <w:p w14:paraId="78735E60">
      <w:pPr>
        <w:spacing w:line="340" w:lineRule="auto"/>
        <w:rPr>
          <w:rFonts w:hint="eastAsia" w:ascii="仿宋" w:hAnsi="仿宋" w:eastAsia="仿宋" w:cs="仿宋"/>
          <w:sz w:val="32"/>
          <w:szCs w:val="32"/>
        </w:rPr>
      </w:pPr>
    </w:p>
    <w:p w14:paraId="4852AD3B">
      <w:pPr>
        <w:spacing w:line="340" w:lineRule="auto"/>
        <w:rPr>
          <w:rFonts w:hint="eastAsia" w:ascii="仿宋" w:hAnsi="仿宋" w:eastAsia="仿宋" w:cs="仿宋"/>
          <w:sz w:val="32"/>
          <w:szCs w:val="32"/>
        </w:rPr>
      </w:pPr>
    </w:p>
    <w:p w14:paraId="2DF9FD10">
      <w:pPr>
        <w:spacing w:line="340" w:lineRule="auto"/>
        <w:rPr>
          <w:rFonts w:hint="eastAsia" w:ascii="仿宋" w:hAnsi="仿宋" w:eastAsia="仿宋" w:cs="仿宋"/>
          <w:sz w:val="32"/>
          <w:szCs w:val="32"/>
        </w:rPr>
      </w:pPr>
    </w:p>
    <w:p w14:paraId="39153080">
      <w:pPr>
        <w:spacing w:line="340" w:lineRule="auto"/>
        <w:rPr>
          <w:rFonts w:ascii="Arial"/>
          <w:sz w:val="21"/>
        </w:rPr>
      </w:pPr>
    </w:p>
    <w:p w14:paraId="393FCFC3">
      <w:pPr>
        <w:pStyle w:val="2"/>
        <w:spacing w:before="101" w:line="221" w:lineRule="auto"/>
        <w:ind w:left="663"/>
        <w:sectPr>
          <w:footerReference r:id="rId4" w:type="default"/>
          <w:pgSz w:w="11916" w:h="16848"/>
          <w:pgMar w:top="1432" w:right="1508" w:bottom="1263" w:left="1592" w:header="0" w:footer="948" w:gutter="0"/>
          <w:cols w:space="720" w:num="1"/>
        </w:sectPr>
      </w:pPr>
      <w:r>
        <w:rPr>
          <w:spacing w:val="8"/>
        </w:rPr>
        <w:t>附件：旅游市场综合治理重点职责任务清单</w:t>
      </w:r>
    </w:p>
    <w:p w14:paraId="0CFF21B4">
      <w:pPr>
        <w:spacing w:before="166" w:line="211" w:lineRule="auto"/>
        <w:jc w:val="center"/>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旅游市场综合治理重点职责任务清单</w:t>
      </w:r>
    </w:p>
    <w:p w14:paraId="4D5D9C8B">
      <w:pPr>
        <w:spacing w:line="153" w:lineRule="exact"/>
      </w:pPr>
    </w:p>
    <w:tbl>
      <w:tblPr>
        <w:tblStyle w:val="9"/>
        <w:tblW w:w="14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2"/>
        <w:gridCol w:w="611"/>
        <w:gridCol w:w="12191"/>
      </w:tblGrid>
      <w:tr w14:paraId="73C38BBE">
        <w:trPr>
          <w:trHeight w:val="655" w:hRule="atLeast"/>
        </w:trPr>
        <w:tc>
          <w:tcPr>
            <w:tcW w:w="1602" w:type="dxa"/>
            <w:vAlign w:val="top"/>
          </w:tcPr>
          <w:p w14:paraId="28882A35">
            <w:pPr>
              <w:spacing w:before="176" w:line="221" w:lineRule="auto"/>
              <w:ind w:left="210"/>
              <w:rPr>
                <w:rFonts w:ascii="黑体" w:hAnsi="黑体" w:eastAsia="黑体" w:cs="黑体"/>
                <w:sz w:val="30"/>
                <w:szCs w:val="30"/>
              </w:rPr>
            </w:pPr>
            <w:r>
              <w:rPr>
                <w:rFonts w:ascii="黑体" w:hAnsi="黑体" w:eastAsia="黑体" w:cs="黑体"/>
                <w:spacing w:val="-4"/>
                <w:sz w:val="30"/>
                <w:szCs w:val="30"/>
              </w:rPr>
              <w:t>责任单位</w:t>
            </w:r>
          </w:p>
        </w:tc>
        <w:tc>
          <w:tcPr>
            <w:tcW w:w="12802" w:type="dxa"/>
            <w:gridSpan w:val="2"/>
            <w:vAlign w:val="top"/>
          </w:tcPr>
          <w:p w14:paraId="31FD390C">
            <w:pPr>
              <w:spacing w:before="176" w:line="221" w:lineRule="auto"/>
              <w:ind w:left="5522"/>
              <w:rPr>
                <w:rFonts w:ascii="黑体" w:hAnsi="黑体" w:eastAsia="黑体" w:cs="黑体"/>
                <w:sz w:val="30"/>
                <w:szCs w:val="30"/>
              </w:rPr>
            </w:pPr>
            <w:r>
              <w:rPr>
                <w:rFonts w:ascii="黑体" w:hAnsi="黑体" w:eastAsia="黑体" w:cs="黑体"/>
                <w:spacing w:val="-4"/>
                <w:sz w:val="30"/>
                <w:szCs w:val="30"/>
              </w:rPr>
              <w:t>重点职责任务</w:t>
            </w:r>
          </w:p>
        </w:tc>
      </w:tr>
      <w:tr w14:paraId="21D0095D">
        <w:trPr>
          <w:trHeight w:val="803" w:hRule="atLeast"/>
        </w:trPr>
        <w:tc>
          <w:tcPr>
            <w:tcW w:w="1602" w:type="dxa"/>
            <w:vMerge w:val="restart"/>
            <w:tcBorders>
              <w:bottom w:val="nil"/>
            </w:tcBorders>
            <w:vAlign w:val="top"/>
          </w:tcPr>
          <w:p w14:paraId="48BB7CEA">
            <w:pPr>
              <w:spacing w:line="270" w:lineRule="auto"/>
              <w:rPr>
                <w:rFonts w:ascii="Arial"/>
                <w:sz w:val="21"/>
              </w:rPr>
            </w:pPr>
          </w:p>
          <w:p w14:paraId="1A6506B7">
            <w:pPr>
              <w:spacing w:line="270" w:lineRule="auto"/>
              <w:rPr>
                <w:rFonts w:ascii="Arial"/>
                <w:sz w:val="21"/>
              </w:rPr>
            </w:pPr>
          </w:p>
          <w:p w14:paraId="26CB101A">
            <w:pPr>
              <w:spacing w:line="270" w:lineRule="auto"/>
              <w:rPr>
                <w:rFonts w:ascii="Arial"/>
                <w:sz w:val="21"/>
              </w:rPr>
            </w:pPr>
          </w:p>
          <w:p w14:paraId="47737DCA">
            <w:pPr>
              <w:pStyle w:val="10"/>
              <w:spacing w:before="91" w:line="289" w:lineRule="auto"/>
              <w:ind w:left="129" w:right="107" w:hanging="3"/>
            </w:pPr>
            <w:r>
              <w:rPr>
                <w:rFonts w:hint="eastAsia"/>
                <w:b/>
                <w:bCs/>
                <w:spacing w:val="-21"/>
                <w:lang w:val="en-US" w:eastAsia="zh-CN"/>
              </w:rPr>
              <w:t>省</w:t>
            </w:r>
            <w:r>
              <w:rPr>
                <w:b/>
                <w:bCs/>
                <w:spacing w:val="-21"/>
              </w:rPr>
              <w:t>委网信</w:t>
            </w:r>
            <w:r>
              <w:rPr>
                <w:b/>
                <w:bCs/>
                <w:spacing w:val="-3"/>
              </w:rPr>
              <w:t>办</w:t>
            </w:r>
          </w:p>
        </w:tc>
        <w:tc>
          <w:tcPr>
            <w:tcW w:w="611" w:type="dxa"/>
            <w:vAlign w:val="top"/>
          </w:tcPr>
          <w:p w14:paraId="0C435D74">
            <w:pPr>
              <w:spacing w:before="136" w:line="539" w:lineRule="exact"/>
              <w:ind w:firstLine="220"/>
            </w:pPr>
            <w:r>
              <w:rPr>
                <w:position w:val="-10"/>
              </w:rPr>
              <w:drawing>
                <wp:inline distT="0" distB="0" distL="0" distR="0">
                  <wp:extent cx="153670" cy="342265"/>
                  <wp:effectExtent l="0" t="0" r="13970" b="825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154296" cy="342359"/>
                          </a:xfrm>
                          <a:prstGeom prst="rect">
                            <a:avLst/>
                          </a:prstGeom>
                        </pic:spPr>
                      </pic:pic>
                    </a:graphicData>
                  </a:graphic>
                </wp:inline>
              </w:drawing>
            </w:r>
          </w:p>
        </w:tc>
        <w:tc>
          <w:tcPr>
            <w:tcW w:w="12191" w:type="dxa"/>
            <w:vAlign w:val="top"/>
          </w:tcPr>
          <w:p w14:paraId="121DBBB2">
            <w:pPr>
              <w:pStyle w:val="10"/>
              <w:spacing w:before="40" w:line="248" w:lineRule="auto"/>
              <w:ind w:left="128" w:right="105" w:firstLine="542"/>
            </w:pPr>
            <w:r>
              <w:rPr>
                <w:spacing w:val="-2"/>
              </w:rPr>
              <w:t>根据行业主管部门研判意见，依法处置网上违法违规涉旅信息，查处发布各类诱导、欺诈游客</w:t>
            </w:r>
            <w:r>
              <w:rPr>
                <w:spacing w:val="10"/>
              </w:rPr>
              <w:t xml:space="preserve"> </w:t>
            </w:r>
            <w:r>
              <w:rPr>
                <w:spacing w:val="-1"/>
              </w:rPr>
              <w:t>等虚假旅游信息的违法违规网站平台、账号等。</w:t>
            </w:r>
          </w:p>
        </w:tc>
      </w:tr>
      <w:tr w14:paraId="13B50872">
        <w:trPr>
          <w:trHeight w:val="1797" w:hRule="atLeast"/>
        </w:trPr>
        <w:tc>
          <w:tcPr>
            <w:tcW w:w="1602" w:type="dxa"/>
            <w:vMerge w:val="continue"/>
            <w:tcBorders>
              <w:top w:val="nil"/>
            </w:tcBorders>
            <w:vAlign w:val="top"/>
          </w:tcPr>
          <w:p w14:paraId="756D99BF">
            <w:pPr>
              <w:rPr>
                <w:rFonts w:ascii="Arial"/>
                <w:sz w:val="21"/>
              </w:rPr>
            </w:pPr>
          </w:p>
        </w:tc>
        <w:tc>
          <w:tcPr>
            <w:tcW w:w="611" w:type="dxa"/>
            <w:vAlign w:val="top"/>
          </w:tcPr>
          <w:p w14:paraId="6C7C0DA4">
            <w:pPr>
              <w:spacing w:line="306" w:lineRule="auto"/>
              <w:rPr>
                <w:rFonts w:ascii="Arial"/>
                <w:sz w:val="21"/>
              </w:rPr>
            </w:pPr>
          </w:p>
          <w:p w14:paraId="36CFD52B">
            <w:pPr>
              <w:spacing w:line="306" w:lineRule="auto"/>
              <w:rPr>
                <w:rFonts w:ascii="Arial"/>
                <w:sz w:val="21"/>
              </w:rPr>
            </w:pPr>
          </w:p>
          <w:p w14:paraId="0F653573">
            <w:pPr>
              <w:spacing w:line="556" w:lineRule="exact"/>
              <w:ind w:firstLine="215"/>
            </w:pPr>
            <w:r>
              <w:rPr>
                <w:position w:val="-11"/>
              </w:rPr>
              <w:drawing>
                <wp:inline distT="0" distB="0" distL="0" distR="0">
                  <wp:extent cx="163830" cy="352425"/>
                  <wp:effectExtent l="0" t="0" r="3810" b="1333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164054" cy="352814"/>
                          </a:xfrm>
                          <a:prstGeom prst="rect">
                            <a:avLst/>
                          </a:prstGeom>
                        </pic:spPr>
                      </pic:pic>
                    </a:graphicData>
                  </a:graphic>
                </wp:inline>
              </w:drawing>
            </w:r>
          </w:p>
        </w:tc>
        <w:tc>
          <w:tcPr>
            <w:tcW w:w="12191" w:type="dxa"/>
            <w:vAlign w:val="top"/>
          </w:tcPr>
          <w:p w14:paraId="45F29D1D">
            <w:pPr>
              <w:pStyle w:val="10"/>
              <w:spacing w:before="139" w:line="216" w:lineRule="auto"/>
              <w:ind w:left="669"/>
            </w:pPr>
            <w:r>
              <w:rPr>
                <w:spacing w:val="-1"/>
              </w:rPr>
              <w:t>严厉查处电商、直播带货、网络餐饮平台等经营主体夸大功效、刷单炒信等</w:t>
            </w:r>
            <w:r>
              <w:rPr>
                <w:spacing w:val="-2"/>
              </w:rPr>
              <w:t>行为。</w:t>
            </w:r>
          </w:p>
          <w:p w14:paraId="04CA2AF9">
            <w:pPr>
              <w:pStyle w:val="10"/>
              <w:spacing w:before="68" w:line="264" w:lineRule="auto"/>
              <w:ind w:left="121" w:right="16" w:firstLine="555"/>
            </w:pPr>
            <w:r>
              <w:rPr>
                <w:spacing w:val="-6"/>
              </w:rPr>
              <w:t>持续优化涉旅网络舆情应对工作流程，强化对涉旅网络舆</w:t>
            </w:r>
            <w:r>
              <w:rPr>
                <w:spacing w:val="-7"/>
              </w:rPr>
              <w:t>情的风险评估、预案编制、监测搜集、</w:t>
            </w:r>
            <w:r>
              <w:t xml:space="preserve"> </w:t>
            </w:r>
            <w:r>
              <w:rPr>
                <w:spacing w:val="-2"/>
              </w:rPr>
              <w:t>预警通报、研判会商、分析报告、应对处置、回应引导、复盘总结，为全省旅游业高质量发展提供</w:t>
            </w:r>
            <w:r>
              <w:rPr>
                <w:spacing w:val="5"/>
              </w:rPr>
              <w:t xml:space="preserve"> </w:t>
            </w:r>
            <w:r>
              <w:rPr>
                <w:spacing w:val="-5"/>
              </w:rPr>
              <w:t>有力网络舆情服务保障。</w:t>
            </w:r>
          </w:p>
        </w:tc>
      </w:tr>
      <w:tr w14:paraId="03A04B89">
        <w:trPr>
          <w:trHeight w:val="1202" w:hRule="atLeast"/>
        </w:trPr>
        <w:tc>
          <w:tcPr>
            <w:tcW w:w="1602" w:type="dxa"/>
            <w:vMerge w:val="restart"/>
            <w:tcBorders>
              <w:bottom w:val="nil"/>
            </w:tcBorders>
            <w:vAlign w:val="top"/>
          </w:tcPr>
          <w:p w14:paraId="594B025C">
            <w:pPr>
              <w:spacing w:line="282" w:lineRule="auto"/>
              <w:rPr>
                <w:rFonts w:ascii="Arial"/>
                <w:sz w:val="21"/>
              </w:rPr>
            </w:pPr>
          </w:p>
          <w:p w14:paraId="11911041">
            <w:pPr>
              <w:spacing w:line="282" w:lineRule="auto"/>
              <w:rPr>
                <w:rFonts w:ascii="Arial"/>
                <w:sz w:val="21"/>
              </w:rPr>
            </w:pPr>
          </w:p>
          <w:p w14:paraId="58408545">
            <w:pPr>
              <w:spacing w:line="283" w:lineRule="auto"/>
              <w:rPr>
                <w:rFonts w:ascii="Arial"/>
                <w:sz w:val="21"/>
              </w:rPr>
            </w:pPr>
          </w:p>
          <w:p w14:paraId="266364EF">
            <w:pPr>
              <w:spacing w:line="283" w:lineRule="auto"/>
              <w:rPr>
                <w:rFonts w:ascii="Arial"/>
                <w:sz w:val="21"/>
              </w:rPr>
            </w:pPr>
          </w:p>
          <w:p w14:paraId="2018BA24">
            <w:pPr>
              <w:pStyle w:val="10"/>
              <w:spacing w:before="91" w:line="219" w:lineRule="auto"/>
              <w:ind w:left="126"/>
              <w:rPr>
                <w:rFonts w:hint="eastAsia" w:eastAsia="仿宋"/>
                <w:lang w:val="en-US" w:eastAsia="zh-CN"/>
              </w:rPr>
            </w:pPr>
            <w:r>
              <w:rPr>
                <w:rFonts w:hint="eastAsia"/>
                <w:b/>
                <w:bCs/>
                <w:spacing w:val="-6"/>
                <w:lang w:val="en-US" w:eastAsia="zh-CN"/>
              </w:rPr>
              <w:t>省</w:t>
            </w:r>
            <w:r>
              <w:rPr>
                <w:b/>
                <w:bCs/>
                <w:spacing w:val="-6"/>
              </w:rPr>
              <w:t>公安</w:t>
            </w:r>
            <w:r>
              <w:rPr>
                <w:rFonts w:hint="eastAsia"/>
                <w:b/>
                <w:bCs/>
                <w:spacing w:val="-6"/>
                <w:lang w:val="en-US" w:eastAsia="zh-CN"/>
              </w:rPr>
              <w:t>厅</w:t>
            </w:r>
          </w:p>
        </w:tc>
        <w:tc>
          <w:tcPr>
            <w:tcW w:w="611" w:type="dxa"/>
            <w:vAlign w:val="top"/>
          </w:tcPr>
          <w:p w14:paraId="4DC937F9">
            <w:pPr>
              <w:spacing w:line="334" w:lineRule="auto"/>
              <w:rPr>
                <w:rFonts w:ascii="Arial"/>
                <w:sz w:val="21"/>
              </w:rPr>
            </w:pPr>
          </w:p>
          <w:p w14:paraId="771E5BCF">
            <w:pPr>
              <w:spacing w:line="540" w:lineRule="exact"/>
              <w:ind w:firstLine="220"/>
            </w:pPr>
            <w:r>
              <w:rPr>
                <w:position w:val="-10"/>
              </w:rPr>
              <w:drawing>
                <wp:inline distT="0" distB="0" distL="0" distR="0">
                  <wp:extent cx="153670" cy="342265"/>
                  <wp:effectExtent l="0" t="0" r="13970" b="825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154296" cy="342359"/>
                          </a:xfrm>
                          <a:prstGeom prst="rect">
                            <a:avLst/>
                          </a:prstGeom>
                        </pic:spPr>
                      </pic:pic>
                    </a:graphicData>
                  </a:graphic>
                </wp:inline>
              </w:drawing>
            </w:r>
          </w:p>
        </w:tc>
        <w:tc>
          <w:tcPr>
            <w:tcW w:w="12191" w:type="dxa"/>
            <w:vAlign w:val="top"/>
          </w:tcPr>
          <w:p w14:paraId="170A299C">
            <w:pPr>
              <w:pStyle w:val="10"/>
              <w:spacing w:before="45" w:line="252" w:lineRule="auto"/>
              <w:ind w:left="115" w:right="103" w:firstLine="567"/>
              <w:jc w:val="both"/>
            </w:pPr>
            <w:r>
              <w:rPr>
                <w:spacing w:val="-2"/>
              </w:rPr>
              <w:t>维护旅游景区、旅游交通站点及周边治安、交通秩序，依法查处倒卖博物馆门票、车票、</w:t>
            </w:r>
            <w:r>
              <w:rPr>
                <w:spacing w:val="-3"/>
              </w:rPr>
              <w:t>船票</w:t>
            </w:r>
            <w:r>
              <w:t xml:space="preserve"> </w:t>
            </w:r>
            <w:r>
              <w:rPr>
                <w:spacing w:val="-2"/>
              </w:rPr>
              <w:t>或其他有价票证，强买强卖商品、强迫他人接受服务、盗窃、诈骗、敲诈勒索等违反治安管理行为</w:t>
            </w:r>
            <w:r>
              <w:rPr>
                <w:spacing w:val="12"/>
              </w:rPr>
              <w:t xml:space="preserve"> </w:t>
            </w:r>
            <w:r>
              <w:rPr>
                <w:spacing w:val="-2"/>
              </w:rPr>
              <w:t>和各类道路交通违法行为，对涉嫌犯罪的依法立案侦查。</w:t>
            </w:r>
          </w:p>
        </w:tc>
      </w:tr>
      <w:tr w14:paraId="314BFC2D">
        <w:trPr>
          <w:trHeight w:val="1602" w:hRule="atLeast"/>
        </w:trPr>
        <w:tc>
          <w:tcPr>
            <w:tcW w:w="1602" w:type="dxa"/>
            <w:vMerge w:val="continue"/>
            <w:tcBorders>
              <w:top w:val="nil"/>
            </w:tcBorders>
            <w:vAlign w:val="top"/>
          </w:tcPr>
          <w:p w14:paraId="1B236063">
            <w:pPr>
              <w:rPr>
                <w:rFonts w:ascii="Arial"/>
                <w:sz w:val="21"/>
              </w:rPr>
            </w:pPr>
          </w:p>
        </w:tc>
        <w:tc>
          <w:tcPr>
            <w:tcW w:w="611" w:type="dxa"/>
            <w:vAlign w:val="top"/>
          </w:tcPr>
          <w:p w14:paraId="55B12873">
            <w:pPr>
              <w:spacing w:line="260" w:lineRule="auto"/>
              <w:rPr>
                <w:rFonts w:ascii="Arial"/>
                <w:sz w:val="21"/>
              </w:rPr>
            </w:pPr>
          </w:p>
          <w:p w14:paraId="0AE413C9">
            <w:pPr>
              <w:spacing w:line="260" w:lineRule="auto"/>
              <w:rPr>
                <w:rFonts w:ascii="Arial"/>
                <w:sz w:val="21"/>
              </w:rPr>
            </w:pPr>
          </w:p>
          <w:p w14:paraId="44391477">
            <w:pPr>
              <w:spacing w:line="555" w:lineRule="exact"/>
              <w:ind w:firstLine="215"/>
            </w:pPr>
            <w:r>
              <w:rPr>
                <w:position w:val="-11"/>
              </w:rPr>
              <w:drawing>
                <wp:inline distT="0" distB="0" distL="0" distR="0">
                  <wp:extent cx="163830" cy="352425"/>
                  <wp:effectExtent l="0" t="0" r="3810" b="1333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164054" cy="352814"/>
                          </a:xfrm>
                          <a:prstGeom prst="rect">
                            <a:avLst/>
                          </a:prstGeom>
                        </pic:spPr>
                      </pic:pic>
                    </a:graphicData>
                  </a:graphic>
                </wp:inline>
              </w:drawing>
            </w:r>
          </w:p>
        </w:tc>
        <w:tc>
          <w:tcPr>
            <w:tcW w:w="12191" w:type="dxa"/>
            <w:vAlign w:val="top"/>
          </w:tcPr>
          <w:p w14:paraId="70951AA6">
            <w:pPr>
              <w:pStyle w:val="10"/>
              <w:spacing w:before="47" w:line="216" w:lineRule="auto"/>
              <w:ind w:left="669"/>
            </w:pPr>
            <w:r>
              <w:t>严厉查处未取得特种行业许可从事旅馆业经营</w:t>
            </w:r>
            <w:r>
              <w:rPr>
                <w:spacing w:val="-1"/>
              </w:rPr>
              <w:t>活动的行为。</w:t>
            </w:r>
          </w:p>
          <w:p w14:paraId="0ABAFBB5">
            <w:pPr>
              <w:pStyle w:val="10"/>
              <w:spacing w:before="71" w:line="263" w:lineRule="auto"/>
              <w:ind w:left="711" w:right="1778" w:hanging="42"/>
            </w:pPr>
            <w:r>
              <w:rPr>
                <w:spacing w:val="-2"/>
              </w:rPr>
              <w:t>严厉查处囤积房源、哄抬价格、在标价外加收费用、拒绝履行价格承诺等行为。</w:t>
            </w:r>
            <w:r>
              <w:rPr>
                <w:spacing w:val="7"/>
              </w:rPr>
              <w:t xml:space="preserve"> </w:t>
            </w:r>
            <w:r>
              <w:rPr>
                <w:spacing w:val="12"/>
              </w:rPr>
              <w:t>维护旅游景区、旅游交通站点及周边治安、交通秩序。</w:t>
            </w:r>
          </w:p>
          <w:p w14:paraId="67B3941B">
            <w:pPr>
              <w:pStyle w:val="10"/>
              <w:spacing w:line="216" w:lineRule="auto"/>
              <w:ind w:left="674"/>
            </w:pPr>
            <w:r>
              <w:rPr>
                <w:spacing w:val="2"/>
              </w:rPr>
              <w:t>推动落实实名购票和实名入场制度，严厉查处</w:t>
            </w:r>
            <w:r>
              <w:rPr>
                <w:spacing w:val="-97"/>
              </w:rPr>
              <w:t xml:space="preserve"> </w:t>
            </w:r>
            <w:r>
              <w:rPr>
                <w:spacing w:val="2"/>
              </w:rPr>
              <w:t>“</w:t>
            </w:r>
            <w:r>
              <w:rPr>
                <w:spacing w:val="-108"/>
              </w:rPr>
              <w:t xml:space="preserve"> </w:t>
            </w:r>
            <w:r>
              <w:rPr>
                <w:spacing w:val="2"/>
              </w:rPr>
              <w:t>黄牛”炒票、倒票等行为。</w:t>
            </w:r>
          </w:p>
        </w:tc>
      </w:tr>
      <w:tr w14:paraId="1426E8BB">
        <w:trPr>
          <w:trHeight w:val="996" w:hRule="atLeast"/>
        </w:trPr>
        <w:tc>
          <w:tcPr>
            <w:tcW w:w="1602" w:type="dxa"/>
            <w:vAlign w:val="top"/>
          </w:tcPr>
          <w:p w14:paraId="5E52DA08">
            <w:pPr>
              <w:pStyle w:val="10"/>
              <w:spacing w:before="103" w:line="290" w:lineRule="auto"/>
              <w:ind w:left="121" w:right="107" w:firstLine="5"/>
              <w:rPr>
                <w:rFonts w:hint="eastAsia" w:eastAsia="仿宋"/>
                <w:lang w:val="en-US" w:eastAsia="zh-CN"/>
              </w:rPr>
            </w:pPr>
            <w:r>
              <w:rPr>
                <w:rFonts w:hint="eastAsia"/>
                <w:b/>
                <w:bCs/>
                <w:spacing w:val="-20"/>
                <w:lang w:val="en-US" w:eastAsia="zh-CN"/>
              </w:rPr>
              <w:t>省</w:t>
            </w:r>
            <w:r>
              <w:rPr>
                <w:b/>
                <w:bCs/>
                <w:spacing w:val="-20"/>
              </w:rPr>
              <w:t>交通运</w:t>
            </w:r>
            <w:r>
              <w:rPr>
                <w:b/>
                <w:bCs/>
                <w:spacing w:val="-7"/>
              </w:rPr>
              <w:t>输</w:t>
            </w:r>
            <w:r>
              <w:rPr>
                <w:rFonts w:hint="eastAsia"/>
                <w:b/>
                <w:bCs/>
                <w:spacing w:val="-7"/>
                <w:lang w:val="en-US" w:eastAsia="zh-CN"/>
              </w:rPr>
              <w:t>厅</w:t>
            </w:r>
          </w:p>
        </w:tc>
        <w:tc>
          <w:tcPr>
            <w:tcW w:w="611" w:type="dxa"/>
            <w:vAlign w:val="top"/>
          </w:tcPr>
          <w:p w14:paraId="589FC8F7">
            <w:pPr>
              <w:spacing w:before="232" w:line="539" w:lineRule="exact"/>
              <w:ind w:firstLine="220"/>
            </w:pPr>
            <w:r>
              <w:rPr>
                <w:position w:val="-10"/>
              </w:rPr>
              <w:drawing>
                <wp:inline distT="0" distB="0" distL="0" distR="0">
                  <wp:extent cx="153670" cy="342265"/>
                  <wp:effectExtent l="0" t="0" r="13970" b="825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154296" cy="342359"/>
                          </a:xfrm>
                          <a:prstGeom prst="rect">
                            <a:avLst/>
                          </a:prstGeom>
                        </pic:spPr>
                      </pic:pic>
                    </a:graphicData>
                  </a:graphic>
                </wp:inline>
              </w:drawing>
            </w:r>
          </w:p>
        </w:tc>
        <w:tc>
          <w:tcPr>
            <w:tcW w:w="12191" w:type="dxa"/>
            <w:vAlign w:val="top"/>
          </w:tcPr>
          <w:p w14:paraId="7D87743C">
            <w:pPr>
              <w:pStyle w:val="10"/>
              <w:spacing w:before="139" w:line="263" w:lineRule="auto"/>
              <w:ind w:left="132" w:right="103" w:firstLine="555"/>
            </w:pPr>
            <w:r>
              <w:rPr>
                <w:spacing w:val="-2"/>
              </w:rPr>
              <w:t>负责道路、水路运输市场监管，依法查处违法违规行为。督促从事旅游客运的交通</w:t>
            </w:r>
            <w:r>
              <w:rPr>
                <w:spacing w:val="-3"/>
              </w:rPr>
              <w:t>运输企业加</w:t>
            </w:r>
            <w:r>
              <w:t xml:space="preserve"> </w:t>
            </w:r>
            <w:r>
              <w:rPr>
                <w:spacing w:val="-1"/>
              </w:rPr>
              <w:t>强道路、水路交通运输安全管理。优化旅游包车管理，丰富旅游客运供给。</w:t>
            </w:r>
          </w:p>
        </w:tc>
      </w:tr>
    </w:tbl>
    <w:p w14:paraId="21C68305">
      <w:pPr>
        <w:rPr>
          <w:rFonts w:ascii="Arial"/>
          <w:sz w:val="21"/>
        </w:rPr>
      </w:pPr>
    </w:p>
    <w:p w14:paraId="204FBAF9">
      <w:pPr>
        <w:rPr>
          <w:rFonts w:ascii="Arial" w:hAnsi="Arial" w:eastAsia="Arial" w:cs="Arial"/>
          <w:sz w:val="21"/>
          <w:szCs w:val="21"/>
        </w:rPr>
        <w:sectPr>
          <w:footerReference r:id="rId5" w:type="default"/>
          <w:pgSz w:w="16848" w:h="11916"/>
          <w:pgMar w:top="1012" w:right="521" w:bottom="1257" w:left="1576" w:header="0" w:footer="819" w:gutter="0"/>
          <w:cols w:space="720" w:num="1"/>
        </w:sectPr>
      </w:pPr>
    </w:p>
    <w:p w14:paraId="7D21C408">
      <w:pPr>
        <w:spacing w:before="51"/>
      </w:pPr>
    </w:p>
    <w:p w14:paraId="028BF12C">
      <w:pPr>
        <w:spacing w:before="50"/>
      </w:pPr>
    </w:p>
    <w:tbl>
      <w:tblPr>
        <w:tblStyle w:val="9"/>
        <w:tblW w:w="14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0"/>
        <w:gridCol w:w="623"/>
        <w:gridCol w:w="12191"/>
      </w:tblGrid>
      <w:tr w14:paraId="50D08401">
        <w:trPr>
          <w:trHeight w:val="2405" w:hRule="atLeast"/>
        </w:trPr>
        <w:tc>
          <w:tcPr>
            <w:tcW w:w="1590" w:type="dxa"/>
            <w:vAlign w:val="top"/>
          </w:tcPr>
          <w:p w14:paraId="6E662C75">
            <w:pPr>
              <w:rPr>
                <w:rFonts w:ascii="Arial"/>
                <w:sz w:val="21"/>
              </w:rPr>
            </w:pPr>
          </w:p>
        </w:tc>
        <w:tc>
          <w:tcPr>
            <w:tcW w:w="623" w:type="dxa"/>
            <w:vAlign w:val="top"/>
          </w:tcPr>
          <w:p w14:paraId="189CEAF8">
            <w:pPr>
              <w:spacing w:line="305" w:lineRule="auto"/>
              <w:rPr>
                <w:rFonts w:ascii="Arial"/>
                <w:sz w:val="21"/>
              </w:rPr>
            </w:pPr>
          </w:p>
          <w:p w14:paraId="1A0C5024">
            <w:pPr>
              <w:spacing w:line="305" w:lineRule="auto"/>
              <w:rPr>
                <w:rFonts w:ascii="Arial"/>
                <w:sz w:val="21"/>
              </w:rPr>
            </w:pPr>
          </w:p>
          <w:p w14:paraId="1DABA7EB">
            <w:pPr>
              <w:spacing w:line="306" w:lineRule="auto"/>
              <w:rPr>
                <w:rFonts w:ascii="Arial"/>
                <w:sz w:val="21"/>
              </w:rPr>
            </w:pPr>
          </w:p>
          <w:p w14:paraId="5131E2DA">
            <w:pPr>
              <w:spacing w:line="556" w:lineRule="exact"/>
              <w:ind w:firstLine="215"/>
            </w:pPr>
            <w:r>
              <w:rPr>
                <w:position w:val="-11"/>
              </w:rPr>
              <w:drawing>
                <wp:inline distT="0" distB="0" distL="0" distR="0">
                  <wp:extent cx="163830" cy="352425"/>
                  <wp:effectExtent l="0" t="0" r="3810" b="1333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164054" cy="352814"/>
                          </a:xfrm>
                          <a:prstGeom prst="rect">
                            <a:avLst/>
                          </a:prstGeom>
                        </pic:spPr>
                      </pic:pic>
                    </a:graphicData>
                  </a:graphic>
                </wp:inline>
              </w:drawing>
            </w:r>
          </w:p>
        </w:tc>
        <w:tc>
          <w:tcPr>
            <w:tcW w:w="12191" w:type="dxa"/>
            <w:vAlign w:val="top"/>
          </w:tcPr>
          <w:p w14:paraId="3F6093E9">
            <w:pPr>
              <w:pStyle w:val="10"/>
              <w:spacing w:before="45" w:line="263" w:lineRule="auto"/>
              <w:ind w:left="118" w:right="105" w:firstLine="555"/>
            </w:pPr>
            <w:r>
              <w:rPr>
                <w:spacing w:val="-2"/>
              </w:rPr>
              <w:t>加大旅游交通运力保障，着力完善旅游交通网络设施，提升旅游交通服务品质，解决“一车难</w:t>
            </w:r>
            <w:r>
              <w:rPr>
                <w:spacing w:val="7"/>
              </w:rPr>
              <w:t xml:space="preserve"> </w:t>
            </w:r>
            <w:r>
              <w:rPr>
                <w:spacing w:val="-3"/>
              </w:rPr>
              <w:t>打”问题。</w:t>
            </w:r>
          </w:p>
          <w:p w14:paraId="6DB47459">
            <w:pPr>
              <w:pStyle w:val="10"/>
              <w:spacing w:before="1" w:line="263" w:lineRule="auto"/>
              <w:ind w:left="118" w:right="116" w:firstLine="550"/>
            </w:pPr>
            <w:r>
              <w:rPr>
                <w:spacing w:val="10"/>
              </w:rPr>
              <w:t>严厉查处未取得道路客运和出租汽车客运经营许可擅自从事营运活动，</w:t>
            </w:r>
            <w:r>
              <w:rPr>
                <w:spacing w:val="-51"/>
              </w:rPr>
              <w:t xml:space="preserve"> </w:t>
            </w:r>
            <w:r>
              <w:rPr>
                <w:spacing w:val="10"/>
              </w:rPr>
              <w:t>出租车违规揽客拼</w:t>
            </w:r>
            <w:r>
              <w:t xml:space="preserve"> </w:t>
            </w:r>
            <w:r>
              <w:rPr>
                <w:spacing w:val="13"/>
              </w:rPr>
              <w:t>客、甩客、拒载、索要高价、故意绕道，不按</w:t>
            </w:r>
            <w:r>
              <w:rPr>
                <w:spacing w:val="12"/>
              </w:rPr>
              <w:t>规定使用计价器等行为。</w:t>
            </w:r>
          </w:p>
          <w:p w14:paraId="5C84EDAA">
            <w:pPr>
              <w:pStyle w:val="10"/>
              <w:spacing w:before="2" w:line="247" w:lineRule="auto"/>
              <w:ind w:left="123" w:right="119" w:firstLine="579"/>
            </w:pPr>
            <w:r>
              <w:rPr>
                <w:spacing w:val="11"/>
              </w:rPr>
              <w:t>督促从事旅游客运的交通运输企业加强道路、水路交通安全管理，排查整治旅游包车相关</w:t>
            </w:r>
            <w:r>
              <w:rPr>
                <w:spacing w:val="13"/>
              </w:rPr>
              <w:t xml:space="preserve"> </w:t>
            </w:r>
            <w:r>
              <w:rPr>
                <w:spacing w:val="10"/>
              </w:rPr>
              <w:t>制度要求落实不到位等问题。</w:t>
            </w:r>
          </w:p>
        </w:tc>
      </w:tr>
      <w:tr w14:paraId="72548445">
        <w:trPr>
          <w:trHeight w:val="822" w:hRule="atLeast"/>
        </w:trPr>
        <w:tc>
          <w:tcPr>
            <w:tcW w:w="1590" w:type="dxa"/>
            <w:vMerge w:val="restart"/>
            <w:tcBorders>
              <w:bottom w:val="nil"/>
            </w:tcBorders>
            <w:vAlign w:val="top"/>
          </w:tcPr>
          <w:p w14:paraId="1F3691C8">
            <w:pPr>
              <w:spacing w:line="276" w:lineRule="auto"/>
              <w:rPr>
                <w:rFonts w:ascii="Arial"/>
                <w:sz w:val="21"/>
              </w:rPr>
            </w:pPr>
          </w:p>
          <w:p w14:paraId="1F126382">
            <w:pPr>
              <w:spacing w:line="277" w:lineRule="auto"/>
              <w:rPr>
                <w:rFonts w:ascii="Arial"/>
                <w:sz w:val="21"/>
              </w:rPr>
            </w:pPr>
          </w:p>
          <w:p w14:paraId="7417F6E1">
            <w:pPr>
              <w:pStyle w:val="10"/>
              <w:spacing w:before="91" w:line="219" w:lineRule="auto"/>
              <w:ind w:left="126"/>
              <w:rPr>
                <w:rFonts w:hint="eastAsia" w:eastAsia="仿宋"/>
                <w:lang w:val="en-US" w:eastAsia="zh-CN"/>
              </w:rPr>
            </w:pPr>
            <w:r>
              <w:rPr>
                <w:rFonts w:hint="eastAsia"/>
                <w:b/>
                <w:bCs/>
                <w:spacing w:val="-6"/>
                <w:lang w:val="en-US" w:eastAsia="zh-CN"/>
              </w:rPr>
              <w:t>省</w:t>
            </w:r>
            <w:r>
              <w:rPr>
                <w:b/>
                <w:bCs/>
                <w:spacing w:val="-6"/>
              </w:rPr>
              <w:t>商务</w:t>
            </w:r>
            <w:r>
              <w:rPr>
                <w:rFonts w:hint="eastAsia"/>
                <w:b/>
                <w:bCs/>
                <w:spacing w:val="-6"/>
                <w:lang w:val="en-US" w:eastAsia="zh-CN"/>
              </w:rPr>
              <w:t>厅</w:t>
            </w:r>
          </w:p>
        </w:tc>
        <w:tc>
          <w:tcPr>
            <w:tcW w:w="623" w:type="dxa"/>
            <w:vAlign w:val="top"/>
          </w:tcPr>
          <w:p w14:paraId="0277ADBF">
            <w:pPr>
              <w:spacing w:before="145" w:line="539" w:lineRule="exact"/>
              <w:ind w:firstLine="220"/>
            </w:pPr>
            <w:r>
              <w:rPr>
                <w:position w:val="-10"/>
              </w:rPr>
              <w:drawing>
                <wp:inline distT="0" distB="0" distL="0" distR="0">
                  <wp:extent cx="153670" cy="342265"/>
                  <wp:effectExtent l="0" t="0" r="13970" b="825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154296" cy="342360"/>
                          </a:xfrm>
                          <a:prstGeom prst="rect">
                            <a:avLst/>
                          </a:prstGeom>
                        </pic:spPr>
                      </pic:pic>
                    </a:graphicData>
                  </a:graphic>
                </wp:inline>
              </w:drawing>
            </w:r>
          </w:p>
        </w:tc>
        <w:tc>
          <w:tcPr>
            <w:tcW w:w="12191" w:type="dxa"/>
            <w:vAlign w:val="top"/>
          </w:tcPr>
          <w:p w14:paraId="201E82FB">
            <w:pPr>
              <w:pStyle w:val="10"/>
              <w:spacing w:before="251" w:line="216" w:lineRule="auto"/>
              <w:ind w:left="669"/>
            </w:pPr>
            <w:r>
              <w:rPr>
                <w:spacing w:val="-2"/>
              </w:rPr>
              <w:t>依法履行餐饮、住宿、商超等行业管理职能，引导行业健康发展。</w:t>
            </w:r>
          </w:p>
        </w:tc>
      </w:tr>
      <w:tr w14:paraId="79CB8E86">
        <w:trPr>
          <w:trHeight w:val="828" w:hRule="atLeast"/>
        </w:trPr>
        <w:tc>
          <w:tcPr>
            <w:tcW w:w="1590" w:type="dxa"/>
            <w:vMerge w:val="continue"/>
            <w:tcBorders>
              <w:top w:val="nil"/>
            </w:tcBorders>
            <w:vAlign w:val="top"/>
          </w:tcPr>
          <w:p w14:paraId="18EA7874">
            <w:pPr>
              <w:rPr>
                <w:rFonts w:ascii="Arial"/>
                <w:sz w:val="21"/>
              </w:rPr>
            </w:pPr>
          </w:p>
        </w:tc>
        <w:tc>
          <w:tcPr>
            <w:tcW w:w="623" w:type="dxa"/>
            <w:vAlign w:val="top"/>
          </w:tcPr>
          <w:p w14:paraId="353050E9">
            <w:pPr>
              <w:spacing w:before="133" w:line="555" w:lineRule="exact"/>
              <w:ind w:firstLine="215"/>
            </w:pPr>
            <w:r>
              <w:rPr>
                <w:position w:val="-11"/>
              </w:rPr>
              <w:drawing>
                <wp:inline distT="0" distB="0" distL="0" distR="0">
                  <wp:extent cx="163830" cy="352425"/>
                  <wp:effectExtent l="0" t="0" r="3810" b="1333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164054" cy="352814"/>
                          </a:xfrm>
                          <a:prstGeom prst="rect">
                            <a:avLst/>
                          </a:prstGeom>
                        </pic:spPr>
                      </pic:pic>
                    </a:graphicData>
                  </a:graphic>
                </wp:inline>
              </w:drawing>
            </w:r>
          </w:p>
        </w:tc>
        <w:tc>
          <w:tcPr>
            <w:tcW w:w="12191" w:type="dxa"/>
            <w:vAlign w:val="top"/>
          </w:tcPr>
          <w:p w14:paraId="3AFC19A0">
            <w:pPr>
              <w:pStyle w:val="10"/>
              <w:spacing w:before="254" w:line="217" w:lineRule="auto"/>
              <w:ind w:left="677"/>
            </w:pPr>
            <w:r>
              <w:rPr>
                <w:spacing w:val="-1"/>
              </w:rPr>
              <w:t>鼓励各地依托本地特色资源，开发特色美食，丰富消费供给。</w:t>
            </w:r>
          </w:p>
        </w:tc>
      </w:tr>
      <w:tr w14:paraId="51A26110">
        <w:trPr>
          <w:trHeight w:val="1202" w:hRule="atLeast"/>
        </w:trPr>
        <w:tc>
          <w:tcPr>
            <w:tcW w:w="1590" w:type="dxa"/>
            <w:vMerge w:val="restart"/>
            <w:tcBorders>
              <w:bottom w:val="nil"/>
            </w:tcBorders>
            <w:vAlign w:val="top"/>
          </w:tcPr>
          <w:p w14:paraId="59A3B30D">
            <w:pPr>
              <w:spacing w:line="243" w:lineRule="auto"/>
              <w:rPr>
                <w:rFonts w:ascii="Arial"/>
                <w:sz w:val="21"/>
              </w:rPr>
            </w:pPr>
          </w:p>
          <w:p w14:paraId="10F93EA0">
            <w:pPr>
              <w:spacing w:line="244" w:lineRule="auto"/>
              <w:rPr>
                <w:rFonts w:ascii="Arial"/>
                <w:sz w:val="21"/>
              </w:rPr>
            </w:pPr>
          </w:p>
          <w:p w14:paraId="5B700878">
            <w:pPr>
              <w:spacing w:line="244" w:lineRule="auto"/>
              <w:rPr>
                <w:rFonts w:ascii="Arial"/>
                <w:sz w:val="21"/>
              </w:rPr>
            </w:pPr>
          </w:p>
          <w:p w14:paraId="3CE84266">
            <w:pPr>
              <w:spacing w:line="244" w:lineRule="auto"/>
              <w:rPr>
                <w:rFonts w:ascii="Arial"/>
                <w:sz w:val="21"/>
              </w:rPr>
            </w:pPr>
          </w:p>
          <w:p w14:paraId="253E50C9">
            <w:pPr>
              <w:spacing w:line="244" w:lineRule="auto"/>
              <w:rPr>
                <w:rFonts w:ascii="Arial"/>
                <w:sz w:val="21"/>
              </w:rPr>
            </w:pPr>
          </w:p>
          <w:p w14:paraId="4980525A">
            <w:pPr>
              <w:spacing w:line="244" w:lineRule="auto"/>
              <w:rPr>
                <w:rFonts w:ascii="Arial"/>
                <w:sz w:val="21"/>
              </w:rPr>
            </w:pPr>
          </w:p>
          <w:p w14:paraId="334F0DED">
            <w:pPr>
              <w:spacing w:line="244" w:lineRule="auto"/>
              <w:rPr>
                <w:rFonts w:ascii="Arial"/>
                <w:sz w:val="21"/>
              </w:rPr>
            </w:pPr>
          </w:p>
          <w:p w14:paraId="0661268E">
            <w:pPr>
              <w:pStyle w:val="10"/>
              <w:spacing w:before="251" w:line="285" w:lineRule="auto"/>
              <w:ind w:left="124" w:right="107" w:firstLine="1"/>
              <w:rPr>
                <w:rFonts w:hint="default" w:eastAsia="仿宋"/>
                <w:lang w:val="en-US" w:eastAsia="zh-CN"/>
              </w:rPr>
            </w:pPr>
            <w:r>
              <w:rPr>
                <w:rFonts w:hint="eastAsia"/>
                <w:b/>
                <w:bCs/>
                <w:spacing w:val="-6"/>
                <w:lang w:val="en-US" w:eastAsia="zh-CN"/>
              </w:rPr>
              <w:t>省</w:t>
            </w:r>
            <w:r>
              <w:rPr>
                <w:rFonts w:hint="eastAsia"/>
                <w:b/>
                <w:bCs/>
                <w:spacing w:val="-6"/>
                <w:lang w:eastAsia="zh-CN"/>
              </w:rPr>
              <w:t>文</w:t>
            </w:r>
            <w:r>
              <w:rPr>
                <w:rFonts w:hint="eastAsia"/>
                <w:b/>
                <w:bCs/>
                <w:spacing w:val="-6"/>
                <w:lang w:val="en-US" w:eastAsia="zh-CN"/>
              </w:rPr>
              <w:t>化和旅游厅</w:t>
            </w:r>
          </w:p>
        </w:tc>
        <w:tc>
          <w:tcPr>
            <w:tcW w:w="623" w:type="dxa"/>
            <w:vAlign w:val="top"/>
          </w:tcPr>
          <w:p w14:paraId="76B26BB3">
            <w:pPr>
              <w:spacing w:line="333" w:lineRule="auto"/>
              <w:rPr>
                <w:rFonts w:ascii="Arial"/>
                <w:sz w:val="21"/>
              </w:rPr>
            </w:pPr>
          </w:p>
          <w:p w14:paraId="2F924FCE">
            <w:pPr>
              <w:spacing w:line="539" w:lineRule="exact"/>
              <w:ind w:firstLine="220"/>
            </w:pPr>
            <w:r>
              <w:rPr>
                <w:position w:val="-10"/>
              </w:rPr>
              <w:drawing>
                <wp:inline distT="0" distB="0" distL="0" distR="0">
                  <wp:extent cx="153670" cy="342265"/>
                  <wp:effectExtent l="0" t="0" r="13970" b="825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
                          <a:stretch>
                            <a:fillRect/>
                          </a:stretch>
                        </pic:blipFill>
                        <pic:spPr>
                          <a:xfrm>
                            <a:off x="0" y="0"/>
                            <a:ext cx="154296" cy="342359"/>
                          </a:xfrm>
                          <a:prstGeom prst="rect">
                            <a:avLst/>
                          </a:prstGeom>
                        </pic:spPr>
                      </pic:pic>
                    </a:graphicData>
                  </a:graphic>
                </wp:inline>
              </w:drawing>
            </w:r>
          </w:p>
        </w:tc>
        <w:tc>
          <w:tcPr>
            <w:tcW w:w="12191" w:type="dxa"/>
            <w:vAlign w:val="top"/>
          </w:tcPr>
          <w:p w14:paraId="720B8FEE">
            <w:pPr>
              <w:pStyle w:val="10"/>
              <w:spacing w:before="40" w:line="253" w:lineRule="auto"/>
              <w:ind w:left="118" w:right="23" w:firstLine="570"/>
              <w:jc w:val="both"/>
            </w:pPr>
            <w:r>
              <w:rPr>
                <w:spacing w:val="-2"/>
              </w:rPr>
              <w:t>负责旅游市场综合监管的日常协调、联络等工作。依法承担规范旅游市场</w:t>
            </w:r>
            <w:r>
              <w:rPr>
                <w:spacing w:val="-3"/>
              </w:rPr>
              <w:t>秩序、维护游客和旅</w:t>
            </w:r>
            <w:r>
              <w:t xml:space="preserve"> </w:t>
            </w:r>
            <w:r>
              <w:rPr>
                <w:spacing w:val="-6"/>
              </w:rPr>
              <w:t>游经营者合法权益的责任，监督管理旅游服务质量。查处旅游市场中</w:t>
            </w:r>
            <w:r>
              <w:rPr>
                <w:spacing w:val="-7"/>
              </w:rPr>
              <w:t>违反旅游相关法律法规的行为。</w:t>
            </w:r>
            <w:r>
              <w:t xml:space="preserve"> </w:t>
            </w:r>
            <w:r>
              <w:rPr>
                <w:spacing w:val="-2"/>
              </w:rPr>
              <w:t>协同相关部门依法依职责处理旅游市场综合监管相关事宜。</w:t>
            </w:r>
          </w:p>
        </w:tc>
      </w:tr>
      <w:tr w14:paraId="3E248B3F">
        <w:trPr>
          <w:trHeight w:val="3201" w:hRule="atLeast"/>
        </w:trPr>
        <w:tc>
          <w:tcPr>
            <w:tcW w:w="1590" w:type="dxa"/>
            <w:vMerge w:val="continue"/>
            <w:tcBorders>
              <w:top w:val="nil"/>
            </w:tcBorders>
            <w:vAlign w:val="top"/>
          </w:tcPr>
          <w:p w14:paraId="2AE0E8ED">
            <w:pPr>
              <w:rPr>
                <w:rFonts w:ascii="Arial"/>
                <w:sz w:val="21"/>
              </w:rPr>
            </w:pPr>
          </w:p>
        </w:tc>
        <w:tc>
          <w:tcPr>
            <w:tcW w:w="623" w:type="dxa"/>
            <w:vAlign w:val="top"/>
          </w:tcPr>
          <w:p w14:paraId="661CBCD9">
            <w:pPr>
              <w:spacing w:line="262" w:lineRule="auto"/>
              <w:rPr>
                <w:rFonts w:ascii="Arial"/>
                <w:sz w:val="21"/>
              </w:rPr>
            </w:pPr>
          </w:p>
          <w:p w14:paraId="0E01174B">
            <w:pPr>
              <w:spacing w:line="262" w:lineRule="auto"/>
              <w:rPr>
                <w:rFonts w:ascii="Arial"/>
                <w:sz w:val="21"/>
              </w:rPr>
            </w:pPr>
          </w:p>
          <w:p w14:paraId="6A3CCB2D">
            <w:pPr>
              <w:spacing w:line="263" w:lineRule="auto"/>
              <w:rPr>
                <w:rFonts w:ascii="Arial"/>
                <w:sz w:val="21"/>
              </w:rPr>
            </w:pPr>
          </w:p>
          <w:p w14:paraId="34FAC7B4">
            <w:pPr>
              <w:spacing w:line="263" w:lineRule="auto"/>
              <w:rPr>
                <w:rFonts w:ascii="Arial"/>
                <w:sz w:val="21"/>
              </w:rPr>
            </w:pPr>
          </w:p>
          <w:p w14:paraId="5057BE9F">
            <w:pPr>
              <w:spacing w:line="263" w:lineRule="auto"/>
              <w:rPr>
                <w:rFonts w:ascii="Arial"/>
                <w:sz w:val="21"/>
              </w:rPr>
            </w:pPr>
          </w:p>
          <w:p w14:paraId="2BE78BD0">
            <w:pPr>
              <w:spacing w:line="555" w:lineRule="exact"/>
              <w:ind w:firstLine="215"/>
            </w:pPr>
            <w:r>
              <w:rPr>
                <w:position w:val="-11"/>
              </w:rPr>
              <w:drawing>
                <wp:inline distT="0" distB="0" distL="0" distR="0">
                  <wp:extent cx="163830" cy="352425"/>
                  <wp:effectExtent l="0" t="0" r="3810" b="1333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164054" cy="352814"/>
                          </a:xfrm>
                          <a:prstGeom prst="rect">
                            <a:avLst/>
                          </a:prstGeom>
                        </pic:spPr>
                      </pic:pic>
                    </a:graphicData>
                  </a:graphic>
                </wp:inline>
              </w:drawing>
            </w:r>
          </w:p>
        </w:tc>
        <w:tc>
          <w:tcPr>
            <w:tcW w:w="12191" w:type="dxa"/>
            <w:vAlign w:val="top"/>
          </w:tcPr>
          <w:p w14:paraId="50A9BAB2">
            <w:pPr>
              <w:pStyle w:val="10"/>
              <w:spacing w:before="45" w:line="263" w:lineRule="auto"/>
              <w:ind w:left="110" w:right="23" w:firstLine="592"/>
              <w:jc w:val="both"/>
            </w:pPr>
            <w:r>
              <w:rPr>
                <w:spacing w:val="11"/>
              </w:rPr>
              <w:t>加强旅游景区景点质量等级管理，整治</w:t>
            </w:r>
            <w:r>
              <w:rPr>
                <w:spacing w:val="-43"/>
              </w:rPr>
              <w:t xml:space="preserve"> </w:t>
            </w:r>
            <w:r>
              <w:rPr>
                <w:spacing w:val="11"/>
              </w:rPr>
              <w:t>A</w:t>
            </w:r>
            <w:r>
              <w:rPr>
                <w:spacing w:val="-37"/>
              </w:rPr>
              <w:t xml:space="preserve"> </w:t>
            </w:r>
            <w:r>
              <w:rPr>
                <w:spacing w:val="11"/>
              </w:rPr>
              <w:t>级旅游景区、A</w:t>
            </w:r>
            <w:r>
              <w:rPr>
                <w:spacing w:val="-36"/>
              </w:rPr>
              <w:t xml:space="preserve"> </w:t>
            </w:r>
            <w:r>
              <w:rPr>
                <w:spacing w:val="11"/>
              </w:rPr>
              <w:t>级乡村旅游经</w:t>
            </w:r>
            <w:r>
              <w:rPr>
                <w:spacing w:val="10"/>
              </w:rPr>
              <w:t>营单位和等级旅游</w:t>
            </w:r>
            <w:r>
              <w:t xml:space="preserve"> </w:t>
            </w:r>
            <w:r>
              <w:rPr>
                <w:spacing w:val="7"/>
              </w:rPr>
              <w:t>民宿服务质量明显低于评定标准、服务态度不热情、文明礼貌用语不规范、讲解服务质</w:t>
            </w:r>
            <w:r>
              <w:rPr>
                <w:spacing w:val="6"/>
              </w:rPr>
              <w:t>量不高、</w:t>
            </w:r>
            <w:r>
              <w:t xml:space="preserve"> </w:t>
            </w:r>
            <w:r>
              <w:rPr>
                <w:spacing w:val="12"/>
              </w:rPr>
              <w:t>卫生环境清理不及时、厕所管理不完善等问题，情节严重的</w:t>
            </w:r>
            <w:r>
              <w:rPr>
                <w:spacing w:val="11"/>
              </w:rPr>
              <w:t>，由评定主管部门予以降级或者撤</w:t>
            </w:r>
            <w:r>
              <w:t xml:space="preserve"> </w:t>
            </w:r>
            <w:r>
              <w:rPr>
                <w:spacing w:val="9"/>
              </w:rPr>
              <w:t>销等级评定处理。</w:t>
            </w:r>
          </w:p>
          <w:p w14:paraId="34003B0A">
            <w:pPr>
              <w:pStyle w:val="10"/>
              <w:spacing w:before="1" w:line="262" w:lineRule="auto"/>
              <w:ind w:left="144" w:right="103" w:firstLine="573"/>
            </w:pPr>
            <w:r>
              <w:rPr>
                <w:spacing w:val="8"/>
              </w:rPr>
              <w:t>落实巡演项目首演地内容审核负责制，实施大型营业性演出活动</w:t>
            </w:r>
            <w:r>
              <w:rPr>
                <w:spacing w:val="-81"/>
              </w:rPr>
              <w:t xml:space="preserve"> </w:t>
            </w:r>
            <w:r>
              <w:rPr>
                <w:spacing w:val="8"/>
              </w:rPr>
              <w:t>“</w:t>
            </w:r>
            <w:r>
              <w:rPr>
                <w:spacing w:val="-99"/>
              </w:rPr>
              <w:t xml:space="preserve"> </w:t>
            </w:r>
            <w:r>
              <w:rPr>
                <w:spacing w:val="8"/>
              </w:rPr>
              <w:t>一件事”并联审批</w:t>
            </w:r>
            <w:r>
              <w:rPr>
                <w:spacing w:val="-109"/>
              </w:rPr>
              <w:t xml:space="preserve"> </w:t>
            </w:r>
            <w:r>
              <w:rPr>
                <w:spacing w:val="8"/>
              </w:rPr>
              <w:t>“一</w:t>
            </w:r>
            <w:r>
              <w:t xml:space="preserve"> </w:t>
            </w:r>
            <w:r>
              <w:rPr>
                <w:spacing w:val="-12"/>
              </w:rPr>
              <w:t>网通办”，丰富文化娱乐产品供给。</w:t>
            </w:r>
          </w:p>
          <w:p w14:paraId="49E60CE5">
            <w:pPr>
              <w:pStyle w:val="10"/>
              <w:spacing w:before="1" w:line="248" w:lineRule="auto"/>
              <w:ind w:left="124" w:right="119" w:firstLine="578"/>
            </w:pPr>
            <w:r>
              <w:rPr>
                <w:spacing w:val="11"/>
              </w:rPr>
              <w:t>加强对大型演出活动的实地检查，严禁擅自变更演员及演出内容，严禁假唱、假演奏等违</w:t>
            </w:r>
            <w:r>
              <w:rPr>
                <w:spacing w:val="13"/>
              </w:rPr>
              <w:t xml:space="preserve"> </w:t>
            </w:r>
            <w:r>
              <w:rPr>
                <w:spacing w:val="6"/>
              </w:rPr>
              <w:t>法违规行为。</w:t>
            </w:r>
          </w:p>
        </w:tc>
      </w:tr>
    </w:tbl>
    <w:p w14:paraId="152F297A">
      <w:pPr>
        <w:rPr>
          <w:rFonts w:ascii="Arial"/>
          <w:sz w:val="21"/>
        </w:rPr>
      </w:pPr>
    </w:p>
    <w:p w14:paraId="57D99EB2">
      <w:pPr>
        <w:rPr>
          <w:rFonts w:ascii="Arial" w:hAnsi="Arial" w:eastAsia="Arial" w:cs="Arial"/>
          <w:sz w:val="21"/>
          <w:szCs w:val="21"/>
        </w:rPr>
        <w:sectPr>
          <w:footerReference r:id="rId6" w:type="default"/>
          <w:pgSz w:w="16848" w:h="11916"/>
          <w:pgMar w:top="1012" w:right="521" w:bottom="1257" w:left="1916" w:header="0" w:footer="816" w:gutter="0"/>
          <w:cols w:space="720" w:num="1"/>
        </w:sectPr>
      </w:pPr>
    </w:p>
    <w:p w14:paraId="6FFCA5D8">
      <w:pPr>
        <w:spacing w:before="51"/>
      </w:pPr>
    </w:p>
    <w:p w14:paraId="05AAFAF7">
      <w:pPr>
        <w:spacing w:before="50"/>
      </w:pPr>
    </w:p>
    <w:tbl>
      <w:tblPr>
        <w:tblStyle w:val="9"/>
        <w:tblW w:w="14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0"/>
        <w:gridCol w:w="623"/>
        <w:gridCol w:w="12191"/>
      </w:tblGrid>
      <w:tr w14:paraId="74B3B6A9">
        <w:trPr>
          <w:trHeight w:val="4000" w:hRule="atLeast"/>
        </w:trPr>
        <w:tc>
          <w:tcPr>
            <w:tcW w:w="1590" w:type="dxa"/>
            <w:vAlign w:val="top"/>
          </w:tcPr>
          <w:p w14:paraId="2A85069B">
            <w:pPr>
              <w:rPr>
                <w:rFonts w:ascii="Arial"/>
                <w:sz w:val="21"/>
              </w:rPr>
            </w:pPr>
          </w:p>
        </w:tc>
        <w:tc>
          <w:tcPr>
            <w:tcW w:w="623" w:type="dxa"/>
            <w:vAlign w:val="top"/>
          </w:tcPr>
          <w:p w14:paraId="0B6D4104">
            <w:pPr>
              <w:rPr>
                <w:rFonts w:ascii="Arial"/>
                <w:sz w:val="21"/>
              </w:rPr>
            </w:pPr>
          </w:p>
        </w:tc>
        <w:tc>
          <w:tcPr>
            <w:tcW w:w="12191" w:type="dxa"/>
            <w:vAlign w:val="top"/>
          </w:tcPr>
          <w:p w14:paraId="115C0ABD">
            <w:pPr>
              <w:pStyle w:val="10"/>
              <w:spacing w:before="45" w:line="263" w:lineRule="auto"/>
              <w:ind w:left="123" w:right="119" w:firstLine="579"/>
            </w:pPr>
            <w:r>
              <w:rPr>
                <w:spacing w:val="11"/>
              </w:rPr>
              <w:t>加强网吧等文化场所管理，严厉打击违规接纳未成年人，内容低俗、媚俗、庸俗等违法违</w:t>
            </w:r>
            <w:r>
              <w:rPr>
                <w:spacing w:val="13"/>
              </w:rPr>
              <w:t xml:space="preserve"> </w:t>
            </w:r>
            <w:r>
              <w:rPr>
                <w:spacing w:val="11"/>
              </w:rPr>
              <w:t>规行为。全面提高文博场馆服务接待水平。</w:t>
            </w:r>
          </w:p>
          <w:p w14:paraId="627C4514">
            <w:pPr>
              <w:pStyle w:val="10"/>
              <w:spacing w:line="216" w:lineRule="auto"/>
              <w:ind w:left="703"/>
            </w:pPr>
            <w:r>
              <w:rPr>
                <w:spacing w:val="10"/>
              </w:rPr>
              <w:t>加强对文旅企业的宣传教育，</w:t>
            </w:r>
            <w:r>
              <w:rPr>
                <w:spacing w:val="-74"/>
              </w:rPr>
              <w:t xml:space="preserve"> </w:t>
            </w:r>
            <w:r>
              <w:rPr>
                <w:spacing w:val="10"/>
              </w:rPr>
              <w:t>引导企业自觉依法依规经营。</w:t>
            </w:r>
          </w:p>
          <w:p w14:paraId="3FCE8C5E">
            <w:pPr>
              <w:pStyle w:val="10"/>
              <w:spacing w:before="73" w:line="216" w:lineRule="auto"/>
              <w:ind w:left="706"/>
            </w:pPr>
            <w:r>
              <w:rPr>
                <w:spacing w:val="13"/>
              </w:rPr>
              <w:t>指导旅行社合理安排旅游行程，加强导游队伍管理，依法保障</w:t>
            </w:r>
            <w:r>
              <w:rPr>
                <w:spacing w:val="12"/>
              </w:rPr>
              <w:t>导游劳动权益。</w:t>
            </w:r>
          </w:p>
          <w:p w14:paraId="65605A0E">
            <w:pPr>
              <w:pStyle w:val="10"/>
              <w:spacing w:before="69" w:line="216" w:lineRule="auto"/>
              <w:ind w:left="697"/>
            </w:pPr>
            <w:r>
              <w:rPr>
                <w:spacing w:val="13"/>
              </w:rPr>
              <w:t>严厉查处未经许可从事旅行社业务、虚假宣传</w:t>
            </w:r>
            <w:r>
              <w:rPr>
                <w:spacing w:val="12"/>
              </w:rPr>
              <w:t>等违规经营行为。</w:t>
            </w:r>
          </w:p>
          <w:p w14:paraId="46E8DCCF">
            <w:pPr>
              <w:pStyle w:val="10"/>
              <w:spacing w:before="75" w:line="263" w:lineRule="auto"/>
              <w:ind w:left="115" w:right="117" w:firstLine="582"/>
            </w:pPr>
            <w:r>
              <w:rPr>
                <w:spacing w:val="11"/>
              </w:rPr>
              <w:t>严厉查处旅行社不签订或不履行旅游合同，派遣无证导游和导游擅自改变行程等行为；低</w:t>
            </w:r>
            <w:r>
              <w:rPr>
                <w:spacing w:val="18"/>
              </w:rPr>
              <w:t xml:space="preserve"> </w:t>
            </w:r>
            <w:r>
              <w:rPr>
                <w:spacing w:val="12"/>
              </w:rPr>
              <w:t>价诱骗游客、不实信息误导游客行为；不向导游</w:t>
            </w:r>
            <w:r>
              <w:rPr>
                <w:spacing w:val="11"/>
              </w:rPr>
              <w:t>支付或者不足额支付劳动报酬，要求导游垫付</w:t>
            </w:r>
            <w:r>
              <w:t xml:space="preserve"> </w:t>
            </w:r>
            <w:r>
              <w:rPr>
                <w:spacing w:val="8"/>
              </w:rPr>
              <w:t>接待费用等行为。</w:t>
            </w:r>
          </w:p>
          <w:p w14:paraId="0EBF0729">
            <w:pPr>
              <w:pStyle w:val="10"/>
              <w:spacing w:line="216" w:lineRule="auto"/>
              <w:ind w:left="697"/>
            </w:pPr>
            <w:r>
              <w:rPr>
                <w:spacing w:val="13"/>
              </w:rPr>
              <w:t>严厉查处未取得导游证从事导游活动、未接受旅行社委派私自承揽导游业务行为。</w:t>
            </w:r>
          </w:p>
          <w:p w14:paraId="2FCC5FFA">
            <w:pPr>
              <w:pStyle w:val="10"/>
              <w:spacing w:before="71" w:line="216" w:lineRule="auto"/>
              <w:ind w:left="697"/>
            </w:pPr>
            <w:r>
              <w:rPr>
                <w:spacing w:val="9"/>
              </w:rPr>
              <w:t>严厉查处导游拒绝履行合同、</w:t>
            </w:r>
            <w:r>
              <w:rPr>
                <w:spacing w:val="-62"/>
              </w:rPr>
              <w:t xml:space="preserve"> </w:t>
            </w:r>
            <w:r>
              <w:rPr>
                <w:spacing w:val="9"/>
              </w:rPr>
              <w:t>以</w:t>
            </w:r>
            <w:r>
              <w:rPr>
                <w:spacing w:val="-85"/>
              </w:rPr>
              <w:t xml:space="preserve"> </w:t>
            </w:r>
            <w:r>
              <w:rPr>
                <w:spacing w:val="9"/>
              </w:rPr>
              <w:t>“人头费”“返点”等名义收取回扣等行为。</w:t>
            </w:r>
          </w:p>
        </w:tc>
      </w:tr>
      <w:tr w14:paraId="66D37A11">
        <w:trPr>
          <w:trHeight w:val="1818" w:hRule="atLeast"/>
        </w:trPr>
        <w:tc>
          <w:tcPr>
            <w:tcW w:w="1590" w:type="dxa"/>
            <w:vAlign w:val="top"/>
          </w:tcPr>
          <w:p w14:paraId="3A317D7C">
            <w:pPr>
              <w:spacing w:line="422" w:lineRule="auto"/>
              <w:rPr>
                <w:rFonts w:ascii="Arial"/>
                <w:sz w:val="21"/>
              </w:rPr>
            </w:pPr>
          </w:p>
          <w:p w14:paraId="5BAD5BE0">
            <w:pPr>
              <w:pStyle w:val="10"/>
              <w:spacing w:before="91" w:line="288" w:lineRule="auto"/>
              <w:ind w:right="107"/>
              <w:rPr>
                <w:rFonts w:hint="default" w:eastAsia="仿宋"/>
                <w:lang w:val="en-US" w:eastAsia="zh-CN"/>
              </w:rPr>
            </w:pPr>
            <w:r>
              <w:rPr>
                <w:rFonts w:hint="eastAsia"/>
                <w:b/>
                <w:bCs/>
                <w:spacing w:val="-20"/>
                <w:lang w:val="en-US" w:eastAsia="zh-CN"/>
              </w:rPr>
              <w:t>省市场监督管理厅</w:t>
            </w:r>
          </w:p>
        </w:tc>
        <w:tc>
          <w:tcPr>
            <w:tcW w:w="623" w:type="dxa"/>
            <w:vAlign w:val="top"/>
          </w:tcPr>
          <w:p w14:paraId="2AD6C477">
            <w:pPr>
              <w:spacing w:line="320" w:lineRule="auto"/>
              <w:rPr>
                <w:rFonts w:ascii="Arial"/>
                <w:sz w:val="21"/>
              </w:rPr>
            </w:pPr>
          </w:p>
          <w:p w14:paraId="4B10B9BA">
            <w:pPr>
              <w:spacing w:line="321" w:lineRule="auto"/>
              <w:rPr>
                <w:rFonts w:ascii="Arial"/>
                <w:sz w:val="21"/>
              </w:rPr>
            </w:pPr>
          </w:p>
          <w:p w14:paraId="447E7422">
            <w:pPr>
              <w:spacing w:line="539" w:lineRule="exact"/>
              <w:ind w:firstLine="220"/>
            </w:pPr>
            <w:r>
              <w:rPr>
                <w:position w:val="-10"/>
              </w:rPr>
              <w:drawing>
                <wp:inline distT="0" distB="0" distL="0" distR="0">
                  <wp:extent cx="153670" cy="342265"/>
                  <wp:effectExtent l="0" t="0" r="13970" b="825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154296" cy="342359"/>
                          </a:xfrm>
                          <a:prstGeom prst="rect">
                            <a:avLst/>
                          </a:prstGeom>
                        </pic:spPr>
                      </pic:pic>
                    </a:graphicData>
                  </a:graphic>
                </wp:inline>
              </w:drawing>
            </w:r>
          </w:p>
        </w:tc>
        <w:tc>
          <w:tcPr>
            <w:tcW w:w="12191" w:type="dxa"/>
            <w:vAlign w:val="top"/>
          </w:tcPr>
          <w:p w14:paraId="76CBBC01">
            <w:pPr>
              <w:pStyle w:val="10"/>
              <w:spacing w:before="153" w:line="264" w:lineRule="auto"/>
              <w:ind w:left="106" w:right="104" w:firstLine="572"/>
              <w:jc w:val="both"/>
            </w:pPr>
            <w:r>
              <w:rPr>
                <w:spacing w:val="-2"/>
              </w:rPr>
              <w:t>会同相关部门依法查处旅游市场中的虚假商业营销、销售假冒伪劣商品、利用不公平格式条款</w:t>
            </w:r>
            <w:r>
              <w:rPr>
                <w:spacing w:val="1"/>
              </w:rPr>
              <w:t xml:space="preserve"> </w:t>
            </w:r>
            <w:r>
              <w:rPr>
                <w:spacing w:val="-1"/>
              </w:rPr>
              <w:t>侵害游客合法权益、商业贿赂等违法行为。查</w:t>
            </w:r>
            <w:r>
              <w:rPr>
                <w:spacing w:val="-2"/>
              </w:rPr>
              <w:t>处旅游经营者不按规定明码标价、欺诈宰客以及达成</w:t>
            </w:r>
            <w:r>
              <w:t xml:space="preserve"> </w:t>
            </w:r>
            <w:r>
              <w:rPr>
                <w:spacing w:val="-1"/>
              </w:rPr>
              <w:t>垄断协议、滥用市场支配地位等违法行为。依</w:t>
            </w:r>
            <w:r>
              <w:rPr>
                <w:spacing w:val="-2"/>
              </w:rPr>
              <w:t>法对旅游场所大型游乐设施、客运索道等特种设备实</w:t>
            </w:r>
            <w:r>
              <w:t xml:space="preserve"> 施安全监管。</w:t>
            </w:r>
          </w:p>
        </w:tc>
      </w:tr>
    </w:tbl>
    <w:p w14:paraId="35E2D181">
      <w:pPr>
        <w:rPr>
          <w:rFonts w:ascii="Arial"/>
          <w:sz w:val="21"/>
        </w:rPr>
      </w:pPr>
    </w:p>
    <w:p w14:paraId="6CD97014">
      <w:pPr>
        <w:rPr>
          <w:rFonts w:ascii="Arial" w:hAnsi="Arial" w:eastAsia="Arial" w:cs="Arial"/>
          <w:sz w:val="21"/>
          <w:szCs w:val="21"/>
        </w:rPr>
        <w:sectPr>
          <w:footerReference r:id="rId7" w:type="default"/>
          <w:pgSz w:w="16848" w:h="11916"/>
          <w:pgMar w:top="1012" w:right="521" w:bottom="1257" w:left="1916" w:header="0" w:footer="816" w:gutter="0"/>
          <w:cols w:space="720" w:num="1"/>
        </w:sectPr>
      </w:pPr>
    </w:p>
    <w:p w14:paraId="7A667BFE">
      <w:pPr>
        <w:spacing w:before="51"/>
      </w:pPr>
    </w:p>
    <w:p w14:paraId="27C826F3">
      <w:pPr>
        <w:spacing w:before="50"/>
      </w:pPr>
    </w:p>
    <w:tbl>
      <w:tblPr>
        <w:tblStyle w:val="9"/>
        <w:tblW w:w="14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0"/>
        <w:gridCol w:w="623"/>
        <w:gridCol w:w="12191"/>
      </w:tblGrid>
      <w:tr w14:paraId="1D5D1B18">
        <w:trPr>
          <w:trHeight w:val="3364" w:hRule="atLeast"/>
        </w:trPr>
        <w:tc>
          <w:tcPr>
            <w:tcW w:w="1590" w:type="dxa"/>
            <w:vAlign w:val="top"/>
          </w:tcPr>
          <w:p w14:paraId="5808E1A5">
            <w:pPr>
              <w:rPr>
                <w:rFonts w:ascii="Arial"/>
                <w:sz w:val="21"/>
              </w:rPr>
            </w:pPr>
          </w:p>
        </w:tc>
        <w:tc>
          <w:tcPr>
            <w:tcW w:w="623" w:type="dxa"/>
            <w:vAlign w:val="top"/>
          </w:tcPr>
          <w:p w14:paraId="24EE0E8B">
            <w:pPr>
              <w:spacing w:line="278" w:lineRule="auto"/>
              <w:rPr>
                <w:rFonts w:ascii="Arial"/>
                <w:sz w:val="21"/>
              </w:rPr>
            </w:pPr>
          </w:p>
          <w:p w14:paraId="0D0B7A00">
            <w:pPr>
              <w:spacing w:line="278" w:lineRule="auto"/>
              <w:rPr>
                <w:rFonts w:ascii="Arial"/>
                <w:sz w:val="21"/>
              </w:rPr>
            </w:pPr>
          </w:p>
          <w:p w14:paraId="149E5124">
            <w:pPr>
              <w:spacing w:line="279" w:lineRule="auto"/>
              <w:rPr>
                <w:rFonts w:ascii="Arial"/>
                <w:sz w:val="21"/>
              </w:rPr>
            </w:pPr>
          </w:p>
          <w:p w14:paraId="540A0995">
            <w:pPr>
              <w:spacing w:line="279" w:lineRule="auto"/>
              <w:rPr>
                <w:rFonts w:ascii="Arial"/>
                <w:sz w:val="21"/>
              </w:rPr>
            </w:pPr>
          </w:p>
          <w:p w14:paraId="4EDFB213">
            <w:pPr>
              <w:spacing w:line="279" w:lineRule="auto"/>
              <w:rPr>
                <w:rFonts w:ascii="Arial"/>
                <w:sz w:val="21"/>
              </w:rPr>
            </w:pPr>
          </w:p>
          <w:p w14:paraId="6F7DBA24">
            <w:pPr>
              <w:spacing w:line="556" w:lineRule="exact"/>
              <w:ind w:firstLine="215"/>
            </w:pPr>
            <w:r>
              <w:rPr>
                <w:position w:val="-11"/>
              </w:rPr>
              <w:drawing>
                <wp:inline distT="0" distB="0" distL="0" distR="0">
                  <wp:extent cx="163830" cy="352425"/>
                  <wp:effectExtent l="0" t="0" r="3810" b="1333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2"/>
                          <a:stretch>
                            <a:fillRect/>
                          </a:stretch>
                        </pic:blipFill>
                        <pic:spPr>
                          <a:xfrm>
                            <a:off x="0" y="0"/>
                            <a:ext cx="164054" cy="352814"/>
                          </a:xfrm>
                          <a:prstGeom prst="rect">
                            <a:avLst/>
                          </a:prstGeom>
                        </pic:spPr>
                      </pic:pic>
                    </a:graphicData>
                  </a:graphic>
                </wp:inline>
              </w:drawing>
            </w:r>
          </w:p>
        </w:tc>
        <w:tc>
          <w:tcPr>
            <w:tcW w:w="12191" w:type="dxa"/>
            <w:vAlign w:val="top"/>
          </w:tcPr>
          <w:p w14:paraId="42A24143">
            <w:pPr>
              <w:pStyle w:val="10"/>
              <w:spacing w:before="103" w:line="263" w:lineRule="auto"/>
              <w:ind w:left="123" w:right="103" w:firstLine="545"/>
            </w:pPr>
            <w:r>
              <w:rPr>
                <w:spacing w:val="-2"/>
              </w:rPr>
              <w:t>严厉查处采购来源不明原料、使用过期变质食材、非法添加、销售不符合食品安全标准食品行</w:t>
            </w:r>
            <w:r>
              <w:rPr>
                <w:spacing w:val="14"/>
              </w:rPr>
              <w:t xml:space="preserve"> </w:t>
            </w:r>
            <w:r>
              <w:rPr>
                <w:spacing w:val="-19"/>
              </w:rPr>
              <w:t>为。</w:t>
            </w:r>
          </w:p>
          <w:p w14:paraId="20993D14">
            <w:pPr>
              <w:pStyle w:val="10"/>
              <w:spacing w:before="1" w:line="216" w:lineRule="auto"/>
              <w:ind w:left="669"/>
            </w:pPr>
            <w:r>
              <w:t>严厉查处后厨、用餐环境卫生脏乱差，提供消毒不合格餐具等行为。</w:t>
            </w:r>
          </w:p>
          <w:p w14:paraId="41DFB213">
            <w:pPr>
              <w:pStyle w:val="10"/>
              <w:spacing w:before="75" w:line="216" w:lineRule="auto"/>
              <w:ind w:left="669"/>
            </w:pPr>
            <w:r>
              <w:rPr>
                <w:spacing w:val="-11"/>
              </w:rPr>
              <w:t>严厉查处明码标价不规范、“阴阳价单”、低标高结等行为。</w:t>
            </w:r>
          </w:p>
          <w:p w14:paraId="7858A4DD">
            <w:pPr>
              <w:pStyle w:val="10"/>
              <w:spacing w:before="69" w:line="216" w:lineRule="auto"/>
              <w:ind w:left="669"/>
            </w:pPr>
            <w:r>
              <w:rPr>
                <w:spacing w:val="-1"/>
              </w:rPr>
              <w:t>严厉查处欺客宰客、虚假宣传、虚假广告等行为。</w:t>
            </w:r>
          </w:p>
          <w:p w14:paraId="2715C828">
            <w:pPr>
              <w:pStyle w:val="10"/>
              <w:spacing w:before="74" w:line="263" w:lineRule="auto"/>
              <w:ind w:left="115" w:right="102" w:firstLine="553"/>
            </w:pPr>
            <w:r>
              <w:rPr>
                <w:spacing w:val="-3"/>
              </w:rPr>
              <w:t>严厉查处“</w:t>
            </w:r>
            <w:r>
              <w:rPr>
                <w:spacing w:val="-84"/>
              </w:rPr>
              <w:t xml:space="preserve"> </w:t>
            </w:r>
            <w:r>
              <w:rPr>
                <w:spacing w:val="-3"/>
              </w:rPr>
              <w:t>山寨”等侵犯知识产权及制售假冒伪劣商品行为；严厉查处价格欺诈、缺斤短两等</w:t>
            </w:r>
            <w:r>
              <w:t xml:space="preserve"> </w:t>
            </w:r>
            <w:r>
              <w:rPr>
                <w:spacing w:val="-3"/>
              </w:rPr>
              <w:t>行为。</w:t>
            </w:r>
          </w:p>
          <w:p w14:paraId="6F936EA1">
            <w:pPr>
              <w:pStyle w:val="10"/>
              <w:spacing w:before="70" w:line="215" w:lineRule="auto"/>
              <w:ind w:left="688"/>
            </w:pPr>
            <w:r>
              <w:rPr>
                <w:spacing w:val="-1"/>
              </w:rPr>
              <w:t>负责旅游场所内的大型游乐设施、客运索道、旅游观光车辆等特种设备的安全监管。</w:t>
            </w:r>
          </w:p>
        </w:tc>
      </w:tr>
      <w:tr w14:paraId="6E46B511">
        <w:trPr>
          <w:trHeight w:val="804" w:hRule="atLeast"/>
        </w:trPr>
        <w:tc>
          <w:tcPr>
            <w:tcW w:w="1590" w:type="dxa"/>
            <w:vMerge w:val="restart"/>
            <w:tcBorders>
              <w:bottom w:val="nil"/>
            </w:tcBorders>
            <w:vAlign w:val="top"/>
          </w:tcPr>
          <w:p w14:paraId="194968FC">
            <w:pPr>
              <w:spacing w:line="289" w:lineRule="auto"/>
              <w:rPr>
                <w:rFonts w:ascii="Arial"/>
                <w:sz w:val="21"/>
              </w:rPr>
            </w:pPr>
          </w:p>
          <w:p w14:paraId="4FDF4703">
            <w:pPr>
              <w:spacing w:line="290" w:lineRule="auto"/>
              <w:rPr>
                <w:rFonts w:ascii="Arial"/>
                <w:sz w:val="21"/>
              </w:rPr>
            </w:pPr>
          </w:p>
          <w:p w14:paraId="0488FC51">
            <w:pPr>
              <w:pStyle w:val="10"/>
              <w:spacing w:before="91" w:line="218" w:lineRule="auto"/>
              <w:ind w:left="126"/>
            </w:pPr>
            <w:r>
              <w:rPr>
                <w:rFonts w:hint="eastAsia"/>
                <w:b/>
                <w:bCs/>
                <w:spacing w:val="-6"/>
                <w:lang w:val="en-US" w:eastAsia="zh-CN"/>
              </w:rPr>
              <w:t>省</w:t>
            </w:r>
            <w:r>
              <w:rPr>
                <w:b/>
                <w:bCs/>
                <w:spacing w:val="-6"/>
              </w:rPr>
              <w:t>体育局</w:t>
            </w:r>
          </w:p>
        </w:tc>
        <w:tc>
          <w:tcPr>
            <w:tcW w:w="623" w:type="dxa"/>
            <w:vAlign w:val="top"/>
          </w:tcPr>
          <w:p w14:paraId="6C0A90CA">
            <w:pPr>
              <w:spacing w:before="136" w:line="539" w:lineRule="exact"/>
              <w:ind w:firstLine="220"/>
            </w:pPr>
            <w:r>
              <w:rPr>
                <w:position w:val="-10"/>
              </w:rPr>
              <w:drawing>
                <wp:inline distT="0" distB="0" distL="0" distR="0">
                  <wp:extent cx="153670" cy="342265"/>
                  <wp:effectExtent l="0" t="0" r="13970" b="825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3"/>
                          <a:stretch>
                            <a:fillRect/>
                          </a:stretch>
                        </pic:blipFill>
                        <pic:spPr>
                          <a:xfrm>
                            <a:off x="0" y="0"/>
                            <a:ext cx="154296" cy="342360"/>
                          </a:xfrm>
                          <a:prstGeom prst="rect">
                            <a:avLst/>
                          </a:prstGeom>
                        </pic:spPr>
                      </pic:pic>
                    </a:graphicData>
                  </a:graphic>
                </wp:inline>
              </w:drawing>
            </w:r>
          </w:p>
        </w:tc>
        <w:tc>
          <w:tcPr>
            <w:tcW w:w="12191" w:type="dxa"/>
            <w:vAlign w:val="top"/>
          </w:tcPr>
          <w:p w14:paraId="13F1FA8B">
            <w:pPr>
              <w:pStyle w:val="10"/>
              <w:spacing w:before="38" w:line="249" w:lineRule="auto"/>
              <w:ind w:left="123" w:right="105" w:firstLine="564"/>
            </w:pPr>
            <w:r>
              <w:rPr>
                <w:spacing w:val="-2"/>
              </w:rPr>
              <w:t>负责游泳、攀岩、潜水、滑雪等高危险性体育项目行业监管，依法查处在旅游</w:t>
            </w:r>
            <w:r>
              <w:rPr>
                <w:spacing w:val="-3"/>
              </w:rPr>
              <w:t>景区、公园等地</w:t>
            </w:r>
            <w:r>
              <w:t xml:space="preserve"> </w:t>
            </w:r>
            <w:r>
              <w:rPr>
                <w:spacing w:val="-1"/>
              </w:rPr>
              <w:t>无证经营高危险性体育项目的违法行为。</w:t>
            </w:r>
          </w:p>
        </w:tc>
      </w:tr>
      <w:tr w14:paraId="64384AF8">
        <w:trPr>
          <w:trHeight w:val="895" w:hRule="atLeast"/>
        </w:trPr>
        <w:tc>
          <w:tcPr>
            <w:tcW w:w="1590" w:type="dxa"/>
            <w:vMerge w:val="continue"/>
            <w:tcBorders>
              <w:top w:val="nil"/>
            </w:tcBorders>
            <w:vAlign w:val="top"/>
          </w:tcPr>
          <w:p w14:paraId="78249F94">
            <w:pPr>
              <w:rPr>
                <w:rFonts w:ascii="Arial"/>
                <w:sz w:val="21"/>
              </w:rPr>
            </w:pPr>
          </w:p>
        </w:tc>
        <w:tc>
          <w:tcPr>
            <w:tcW w:w="623" w:type="dxa"/>
            <w:vAlign w:val="top"/>
          </w:tcPr>
          <w:p w14:paraId="48AD4161">
            <w:pPr>
              <w:spacing w:before="166" w:line="556" w:lineRule="exact"/>
              <w:ind w:firstLine="215"/>
            </w:pPr>
            <w:r>
              <w:rPr>
                <w:position w:val="-11"/>
              </w:rPr>
              <w:drawing>
                <wp:inline distT="0" distB="0" distL="0" distR="0">
                  <wp:extent cx="163830" cy="352425"/>
                  <wp:effectExtent l="0" t="0" r="3810" b="1333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4"/>
                          <a:stretch>
                            <a:fillRect/>
                          </a:stretch>
                        </pic:blipFill>
                        <pic:spPr>
                          <a:xfrm>
                            <a:off x="0" y="0"/>
                            <a:ext cx="164054" cy="352814"/>
                          </a:xfrm>
                          <a:prstGeom prst="rect">
                            <a:avLst/>
                          </a:prstGeom>
                        </pic:spPr>
                      </pic:pic>
                    </a:graphicData>
                  </a:graphic>
                </wp:inline>
              </w:drawing>
            </w:r>
          </w:p>
        </w:tc>
        <w:tc>
          <w:tcPr>
            <w:tcW w:w="12191" w:type="dxa"/>
            <w:vAlign w:val="top"/>
          </w:tcPr>
          <w:p w14:paraId="65B59F0A">
            <w:pPr>
              <w:pStyle w:val="10"/>
              <w:spacing w:before="84" w:line="264" w:lineRule="auto"/>
              <w:ind w:left="128" w:right="119" w:firstLine="589"/>
            </w:pPr>
            <w:r>
              <w:rPr>
                <w:spacing w:val="11"/>
              </w:rPr>
              <w:t>负责游泳、攀岩、潜水、滑雪等高危险性体育项目行业监管，依法查处在旅游景区、</w:t>
            </w:r>
            <w:r>
              <w:rPr>
                <w:spacing w:val="10"/>
              </w:rPr>
              <w:t>公园</w:t>
            </w:r>
            <w:r>
              <w:t xml:space="preserve"> </w:t>
            </w:r>
            <w:r>
              <w:rPr>
                <w:spacing w:val="11"/>
              </w:rPr>
              <w:t>等地无证经营高危险性体育项目的违法行为。</w:t>
            </w:r>
          </w:p>
        </w:tc>
      </w:tr>
      <w:tr w14:paraId="3ABD611E">
        <w:trPr>
          <w:trHeight w:val="853" w:hRule="atLeast"/>
        </w:trPr>
        <w:tc>
          <w:tcPr>
            <w:tcW w:w="1590" w:type="dxa"/>
            <w:vMerge w:val="restart"/>
            <w:tcBorders>
              <w:bottom w:val="nil"/>
            </w:tcBorders>
            <w:vAlign w:val="top"/>
          </w:tcPr>
          <w:p w14:paraId="211EBD4F">
            <w:pPr>
              <w:pStyle w:val="10"/>
              <w:spacing w:before="105" w:line="288" w:lineRule="auto"/>
              <w:ind w:left="121" w:right="107" w:firstLine="6"/>
              <w:rPr>
                <w:rFonts w:hint="eastAsia"/>
                <w:b/>
                <w:bCs/>
                <w:spacing w:val="-6"/>
                <w:lang w:val="en-US" w:eastAsia="zh-CN"/>
              </w:rPr>
            </w:pPr>
          </w:p>
          <w:p w14:paraId="048D72CC">
            <w:pPr>
              <w:pStyle w:val="10"/>
              <w:spacing w:before="105" w:line="288" w:lineRule="auto"/>
              <w:ind w:left="121" w:right="107" w:firstLine="6"/>
              <w:rPr>
                <w:rFonts w:hint="default"/>
                <w:lang w:val="en-US"/>
              </w:rPr>
            </w:pPr>
            <w:r>
              <w:rPr>
                <w:rFonts w:hint="eastAsia"/>
                <w:b/>
                <w:bCs/>
                <w:spacing w:val="-6"/>
                <w:lang w:val="en-US" w:eastAsia="zh-CN"/>
              </w:rPr>
              <w:t>省政务服务和数字化建设管理局</w:t>
            </w:r>
          </w:p>
        </w:tc>
        <w:tc>
          <w:tcPr>
            <w:tcW w:w="623" w:type="dxa"/>
            <w:vAlign w:val="top"/>
          </w:tcPr>
          <w:p w14:paraId="310EFDBD">
            <w:pPr>
              <w:spacing w:before="162" w:line="539" w:lineRule="exact"/>
              <w:ind w:firstLine="220"/>
            </w:pPr>
            <w:r>
              <w:rPr>
                <w:position w:val="-10"/>
              </w:rPr>
              <w:drawing>
                <wp:inline distT="0" distB="0" distL="0" distR="0">
                  <wp:extent cx="153670" cy="342265"/>
                  <wp:effectExtent l="0" t="0" r="13970" b="825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154296" cy="342359"/>
                          </a:xfrm>
                          <a:prstGeom prst="rect">
                            <a:avLst/>
                          </a:prstGeom>
                        </pic:spPr>
                      </pic:pic>
                    </a:graphicData>
                  </a:graphic>
                </wp:inline>
              </w:drawing>
            </w:r>
          </w:p>
        </w:tc>
        <w:tc>
          <w:tcPr>
            <w:tcW w:w="12191" w:type="dxa"/>
            <w:vAlign w:val="top"/>
          </w:tcPr>
          <w:p w14:paraId="528D7C70">
            <w:pPr>
              <w:pStyle w:val="10"/>
              <w:spacing w:before="268" w:line="214" w:lineRule="auto"/>
              <w:ind w:left="688"/>
            </w:pPr>
            <w:r>
              <w:rPr>
                <w:spacing w:val="-2"/>
              </w:rPr>
              <w:t>负责推动各地受理转派旅游投诉。</w:t>
            </w:r>
          </w:p>
        </w:tc>
      </w:tr>
      <w:tr w14:paraId="3B7FC592">
        <w:trPr>
          <w:trHeight w:val="1241" w:hRule="atLeast"/>
        </w:trPr>
        <w:tc>
          <w:tcPr>
            <w:tcW w:w="1590" w:type="dxa"/>
            <w:vMerge w:val="continue"/>
            <w:tcBorders>
              <w:top w:val="nil"/>
            </w:tcBorders>
            <w:vAlign w:val="top"/>
          </w:tcPr>
          <w:p w14:paraId="30276985">
            <w:pPr>
              <w:rPr>
                <w:rFonts w:ascii="Arial"/>
                <w:sz w:val="21"/>
              </w:rPr>
            </w:pPr>
          </w:p>
        </w:tc>
        <w:tc>
          <w:tcPr>
            <w:tcW w:w="623" w:type="dxa"/>
            <w:vAlign w:val="top"/>
          </w:tcPr>
          <w:p w14:paraId="308156CF">
            <w:pPr>
              <w:spacing w:line="338" w:lineRule="auto"/>
              <w:rPr>
                <w:rFonts w:ascii="Arial"/>
                <w:sz w:val="21"/>
              </w:rPr>
            </w:pPr>
          </w:p>
          <w:p w14:paraId="6F2B4FFF">
            <w:pPr>
              <w:spacing w:line="556" w:lineRule="exact"/>
              <w:ind w:firstLine="215"/>
            </w:pPr>
            <w:r>
              <w:rPr>
                <w:position w:val="-11"/>
              </w:rPr>
              <w:drawing>
                <wp:inline distT="0" distB="0" distL="0" distR="0">
                  <wp:extent cx="163830" cy="352425"/>
                  <wp:effectExtent l="0" t="0" r="3810" b="1333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6"/>
                          <a:stretch>
                            <a:fillRect/>
                          </a:stretch>
                        </pic:blipFill>
                        <pic:spPr>
                          <a:xfrm>
                            <a:off x="0" y="0"/>
                            <a:ext cx="164054" cy="352814"/>
                          </a:xfrm>
                          <a:prstGeom prst="rect">
                            <a:avLst/>
                          </a:prstGeom>
                        </pic:spPr>
                      </pic:pic>
                    </a:graphicData>
                  </a:graphic>
                </wp:inline>
              </w:drawing>
            </w:r>
          </w:p>
        </w:tc>
        <w:tc>
          <w:tcPr>
            <w:tcW w:w="12191" w:type="dxa"/>
            <w:vAlign w:val="top"/>
          </w:tcPr>
          <w:p w14:paraId="30E2F306">
            <w:pPr>
              <w:pStyle w:val="10"/>
              <w:spacing w:before="62" w:line="216" w:lineRule="auto"/>
              <w:ind w:left="674"/>
            </w:pPr>
            <w:r>
              <w:rPr>
                <w:spacing w:val="-2"/>
              </w:rPr>
              <w:t>进一步提升</w:t>
            </w:r>
            <w:r>
              <w:rPr>
                <w:spacing w:val="-42"/>
              </w:rPr>
              <w:t xml:space="preserve"> </w:t>
            </w:r>
            <w:r>
              <w:rPr>
                <w:spacing w:val="-2"/>
              </w:rPr>
              <w:t>12345</w:t>
            </w:r>
            <w:r>
              <w:rPr>
                <w:spacing w:val="-47"/>
              </w:rPr>
              <w:t xml:space="preserve"> </w:t>
            </w:r>
            <w:r>
              <w:rPr>
                <w:spacing w:val="-2"/>
              </w:rPr>
              <w:t>热线和其他投诉渠道服务质量和效能，及时响应并妥善解决</w:t>
            </w:r>
            <w:r>
              <w:rPr>
                <w:spacing w:val="-3"/>
              </w:rPr>
              <w:t>游客诉求。</w:t>
            </w:r>
          </w:p>
          <w:p w14:paraId="7033E6B0">
            <w:pPr>
              <w:pStyle w:val="10"/>
              <w:spacing w:before="70" w:line="254" w:lineRule="auto"/>
              <w:ind w:left="119" w:right="103" w:firstLine="554"/>
            </w:pPr>
            <w:r>
              <w:rPr>
                <w:spacing w:val="-2"/>
              </w:rPr>
              <w:t>加强对接诉工作人员的责任意识、服务意识和专业技能的教育、培训和指导，对态度生冷，漠</w:t>
            </w:r>
            <w:r>
              <w:rPr>
                <w:spacing w:val="9"/>
              </w:rPr>
              <w:t xml:space="preserve"> </w:t>
            </w:r>
            <w:r>
              <w:rPr>
                <w:spacing w:val="-2"/>
              </w:rPr>
              <w:t>视游客诉求或推诿转办、延误时效的行为坚决予以纠正。</w:t>
            </w:r>
          </w:p>
        </w:tc>
      </w:tr>
      <w:tr w14:paraId="0CA6E730">
        <w:trPr>
          <w:trHeight w:val="1285" w:hRule="atLeast"/>
        </w:trPr>
        <w:tc>
          <w:tcPr>
            <w:tcW w:w="1590" w:type="dxa"/>
            <w:vAlign w:val="top"/>
          </w:tcPr>
          <w:p w14:paraId="6F26DB66">
            <w:pPr>
              <w:pStyle w:val="10"/>
              <w:spacing w:before="251" w:line="285" w:lineRule="auto"/>
              <w:ind w:left="124" w:right="107" w:firstLine="1"/>
            </w:pPr>
            <w:r>
              <w:rPr>
                <w:rFonts w:hint="eastAsia"/>
                <w:b/>
                <w:bCs/>
                <w:spacing w:val="-6"/>
                <w:lang w:val="en-US" w:eastAsia="zh-CN"/>
              </w:rPr>
              <w:t>省林业和草原局</w:t>
            </w:r>
          </w:p>
        </w:tc>
        <w:tc>
          <w:tcPr>
            <w:tcW w:w="623" w:type="dxa"/>
            <w:vAlign w:val="top"/>
          </w:tcPr>
          <w:p w14:paraId="1E144AE7">
            <w:pPr>
              <w:spacing w:line="377" w:lineRule="auto"/>
              <w:rPr>
                <w:rFonts w:ascii="Arial"/>
                <w:sz w:val="21"/>
              </w:rPr>
            </w:pPr>
          </w:p>
          <w:p w14:paraId="2E9045B0">
            <w:pPr>
              <w:spacing w:line="539" w:lineRule="exact"/>
              <w:ind w:firstLine="220"/>
            </w:pPr>
            <w:r>
              <w:rPr>
                <w:position w:val="-10"/>
              </w:rPr>
              <w:drawing>
                <wp:inline distT="0" distB="0" distL="0" distR="0">
                  <wp:extent cx="153670" cy="342265"/>
                  <wp:effectExtent l="0" t="0" r="13970" b="825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7"/>
                          <a:stretch>
                            <a:fillRect/>
                          </a:stretch>
                        </pic:blipFill>
                        <pic:spPr>
                          <a:xfrm>
                            <a:off x="0" y="0"/>
                            <a:ext cx="154296" cy="342359"/>
                          </a:xfrm>
                          <a:prstGeom prst="rect">
                            <a:avLst/>
                          </a:prstGeom>
                        </pic:spPr>
                      </pic:pic>
                    </a:graphicData>
                  </a:graphic>
                </wp:inline>
              </w:drawing>
            </w:r>
          </w:p>
        </w:tc>
        <w:tc>
          <w:tcPr>
            <w:tcW w:w="12191" w:type="dxa"/>
            <w:vAlign w:val="top"/>
          </w:tcPr>
          <w:p w14:paraId="0922939B">
            <w:pPr>
              <w:pStyle w:val="10"/>
              <w:spacing w:before="82" w:line="262" w:lineRule="auto"/>
              <w:ind w:left="130" w:right="102" w:firstLine="547"/>
              <w:jc w:val="both"/>
            </w:pPr>
            <w:r>
              <w:rPr>
                <w:spacing w:val="-2"/>
              </w:rPr>
              <w:t>协调打击野生动植物非法贸易部际联席会议有关成员单位，依法打击旅游活动中违法出售、购</w:t>
            </w:r>
            <w:r>
              <w:rPr>
                <w:spacing w:val="3"/>
              </w:rPr>
              <w:t xml:space="preserve"> </w:t>
            </w:r>
            <w:r>
              <w:rPr>
                <w:spacing w:val="-2"/>
              </w:rPr>
              <w:t>买野生动植物及其制品的行为，加强对国家公园、自然保护区、自然公园的监督管理，督促</w:t>
            </w:r>
            <w:r>
              <w:rPr>
                <w:spacing w:val="-3"/>
              </w:rPr>
              <w:t>旅游景</w:t>
            </w:r>
            <w:r>
              <w:t xml:space="preserve"> </w:t>
            </w:r>
            <w:r>
              <w:rPr>
                <w:spacing w:val="-2"/>
              </w:rPr>
              <w:t>区做好森林草原防火工作。</w:t>
            </w:r>
          </w:p>
        </w:tc>
      </w:tr>
    </w:tbl>
    <w:p w14:paraId="411920A1">
      <w:pPr>
        <w:rPr>
          <w:rFonts w:ascii="Arial"/>
          <w:sz w:val="21"/>
        </w:rPr>
      </w:pPr>
    </w:p>
    <w:p w14:paraId="607C7925">
      <w:pPr>
        <w:rPr>
          <w:rFonts w:ascii="Arial" w:hAnsi="Arial" w:eastAsia="Arial" w:cs="Arial"/>
          <w:sz w:val="21"/>
          <w:szCs w:val="21"/>
        </w:rPr>
        <w:sectPr>
          <w:footerReference r:id="rId8" w:type="default"/>
          <w:pgSz w:w="16848" w:h="11916"/>
          <w:pgMar w:top="1012" w:right="521" w:bottom="1257" w:left="1916" w:header="0" w:footer="819" w:gutter="0"/>
          <w:cols w:space="720" w:num="1"/>
        </w:sectPr>
      </w:pPr>
    </w:p>
    <w:p w14:paraId="20F98C3C">
      <w:pPr>
        <w:spacing w:before="51"/>
      </w:pPr>
    </w:p>
    <w:p w14:paraId="747836E2">
      <w:pPr>
        <w:spacing w:before="50"/>
      </w:pPr>
    </w:p>
    <w:tbl>
      <w:tblPr>
        <w:tblStyle w:val="9"/>
        <w:tblW w:w="14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0"/>
        <w:gridCol w:w="623"/>
        <w:gridCol w:w="12191"/>
      </w:tblGrid>
      <w:tr w14:paraId="7BDD89C2">
        <w:trPr>
          <w:trHeight w:val="1734" w:hRule="atLeast"/>
        </w:trPr>
        <w:tc>
          <w:tcPr>
            <w:tcW w:w="1590" w:type="dxa"/>
            <w:vAlign w:val="top"/>
          </w:tcPr>
          <w:p w14:paraId="1982D585">
            <w:pPr>
              <w:rPr>
                <w:rFonts w:ascii="Arial"/>
                <w:sz w:val="21"/>
              </w:rPr>
            </w:pPr>
          </w:p>
        </w:tc>
        <w:tc>
          <w:tcPr>
            <w:tcW w:w="623" w:type="dxa"/>
            <w:vAlign w:val="top"/>
          </w:tcPr>
          <w:p w14:paraId="0D053EE3">
            <w:pPr>
              <w:spacing w:line="291" w:lineRule="auto"/>
              <w:rPr>
                <w:rFonts w:ascii="Arial"/>
                <w:sz w:val="21"/>
              </w:rPr>
            </w:pPr>
          </w:p>
          <w:p w14:paraId="399F91E4">
            <w:pPr>
              <w:spacing w:line="291" w:lineRule="auto"/>
              <w:rPr>
                <w:rFonts w:ascii="Arial"/>
                <w:sz w:val="21"/>
              </w:rPr>
            </w:pPr>
          </w:p>
          <w:p w14:paraId="479184D2">
            <w:pPr>
              <w:spacing w:line="556" w:lineRule="exact"/>
              <w:ind w:firstLine="215"/>
            </w:pPr>
            <w:r>
              <w:rPr>
                <w:position w:val="-11"/>
              </w:rPr>
              <w:drawing>
                <wp:inline distT="0" distB="0" distL="0" distR="0">
                  <wp:extent cx="163830" cy="352425"/>
                  <wp:effectExtent l="0" t="0" r="3810" b="1333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8"/>
                          <a:stretch>
                            <a:fillRect/>
                          </a:stretch>
                        </pic:blipFill>
                        <pic:spPr>
                          <a:xfrm>
                            <a:off x="0" y="0"/>
                            <a:ext cx="164054" cy="352814"/>
                          </a:xfrm>
                          <a:prstGeom prst="rect">
                            <a:avLst/>
                          </a:prstGeom>
                        </pic:spPr>
                      </pic:pic>
                    </a:graphicData>
                  </a:graphic>
                </wp:inline>
              </w:drawing>
            </w:r>
          </w:p>
        </w:tc>
        <w:tc>
          <w:tcPr>
            <w:tcW w:w="12191" w:type="dxa"/>
            <w:vAlign w:val="top"/>
          </w:tcPr>
          <w:p w14:paraId="1B7AA69E">
            <w:pPr>
              <w:pStyle w:val="10"/>
              <w:spacing w:before="109" w:line="216" w:lineRule="auto"/>
              <w:ind w:left="715"/>
            </w:pPr>
            <w:r>
              <w:rPr>
                <w:spacing w:val="13"/>
              </w:rPr>
              <w:t>配合相关部门严厉打击旅游活动中违法出售</w:t>
            </w:r>
            <w:r>
              <w:rPr>
                <w:spacing w:val="12"/>
              </w:rPr>
              <w:t>、购买野生动物及其制品等行为。</w:t>
            </w:r>
          </w:p>
          <w:p w14:paraId="05198E57">
            <w:pPr>
              <w:pStyle w:val="10"/>
              <w:spacing w:before="68" w:line="263" w:lineRule="auto"/>
              <w:ind w:left="109" w:right="105" w:firstLine="593"/>
            </w:pPr>
            <w:r>
              <w:rPr>
                <w:spacing w:val="12"/>
              </w:rPr>
              <w:t>加强对国家公园、自然保护区、自然公园等监督管理，规范自</w:t>
            </w:r>
            <w:r>
              <w:rPr>
                <w:spacing w:val="11"/>
              </w:rPr>
              <w:t>然保护地内旅游经营活动，</w:t>
            </w:r>
            <w:r>
              <w:t xml:space="preserve"> </w:t>
            </w:r>
            <w:r>
              <w:rPr>
                <w:spacing w:val="12"/>
              </w:rPr>
              <w:t>严防穿越保护区核心区等违规行为发生。</w:t>
            </w:r>
          </w:p>
          <w:p w14:paraId="34B60053">
            <w:pPr>
              <w:pStyle w:val="10"/>
              <w:spacing w:before="1" w:line="215" w:lineRule="auto"/>
              <w:ind w:left="703"/>
            </w:pPr>
            <w:r>
              <w:rPr>
                <w:spacing w:val="11"/>
              </w:rPr>
              <w:t>督促旅游景区做好森林草原防火工作。</w:t>
            </w:r>
          </w:p>
        </w:tc>
      </w:tr>
      <w:tr w14:paraId="67DEE4C5">
        <w:trPr>
          <w:trHeight w:val="1202" w:hRule="atLeast"/>
        </w:trPr>
        <w:tc>
          <w:tcPr>
            <w:tcW w:w="1590" w:type="dxa"/>
            <w:vMerge w:val="restart"/>
            <w:tcBorders>
              <w:bottom w:val="nil"/>
            </w:tcBorders>
            <w:vAlign w:val="top"/>
          </w:tcPr>
          <w:p w14:paraId="244E3091">
            <w:pPr>
              <w:spacing w:line="356" w:lineRule="auto"/>
              <w:rPr>
                <w:rFonts w:ascii="Arial"/>
                <w:sz w:val="21"/>
              </w:rPr>
            </w:pPr>
          </w:p>
          <w:p w14:paraId="2C818DAC">
            <w:pPr>
              <w:spacing w:line="356" w:lineRule="auto"/>
              <w:rPr>
                <w:rFonts w:ascii="Arial"/>
                <w:sz w:val="21"/>
              </w:rPr>
            </w:pPr>
          </w:p>
          <w:p w14:paraId="3C23E664">
            <w:pPr>
              <w:pStyle w:val="10"/>
              <w:spacing w:before="251" w:line="285" w:lineRule="auto"/>
              <w:ind w:left="124" w:right="107" w:firstLine="1"/>
              <w:rPr>
                <w:rFonts w:hint="default" w:eastAsia="仿宋"/>
                <w:lang w:val="en-US" w:eastAsia="zh-CN"/>
              </w:rPr>
            </w:pPr>
            <w:r>
              <w:rPr>
                <w:rFonts w:hint="eastAsia"/>
                <w:b/>
                <w:bCs/>
                <w:spacing w:val="-6"/>
                <w:lang w:val="en-US" w:eastAsia="zh-CN"/>
              </w:rPr>
              <w:t>省通信管理局</w:t>
            </w:r>
          </w:p>
        </w:tc>
        <w:tc>
          <w:tcPr>
            <w:tcW w:w="623" w:type="dxa"/>
            <w:vAlign w:val="top"/>
          </w:tcPr>
          <w:p w14:paraId="372111CF">
            <w:pPr>
              <w:spacing w:line="334" w:lineRule="auto"/>
              <w:rPr>
                <w:rFonts w:ascii="Arial"/>
                <w:sz w:val="21"/>
              </w:rPr>
            </w:pPr>
          </w:p>
          <w:p w14:paraId="08AF3ED0">
            <w:pPr>
              <w:spacing w:line="539" w:lineRule="exact"/>
              <w:ind w:firstLine="220"/>
            </w:pPr>
            <w:r>
              <w:rPr>
                <w:position w:val="-10"/>
              </w:rPr>
              <w:drawing>
                <wp:inline distT="0" distB="0" distL="0" distR="0">
                  <wp:extent cx="153670" cy="342265"/>
                  <wp:effectExtent l="0" t="0" r="13970" b="8255"/>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9"/>
                          <a:stretch>
                            <a:fillRect/>
                          </a:stretch>
                        </pic:blipFill>
                        <pic:spPr>
                          <a:xfrm>
                            <a:off x="0" y="0"/>
                            <a:ext cx="154296" cy="342358"/>
                          </a:xfrm>
                          <a:prstGeom prst="rect">
                            <a:avLst/>
                          </a:prstGeom>
                        </pic:spPr>
                      </pic:pic>
                    </a:graphicData>
                  </a:graphic>
                </wp:inline>
              </w:drawing>
            </w:r>
          </w:p>
        </w:tc>
        <w:tc>
          <w:tcPr>
            <w:tcW w:w="12191" w:type="dxa"/>
            <w:vAlign w:val="top"/>
          </w:tcPr>
          <w:p w14:paraId="635E5F64">
            <w:pPr>
              <w:pStyle w:val="10"/>
              <w:spacing w:before="40" w:line="253" w:lineRule="auto"/>
              <w:ind w:left="124" w:right="104" w:firstLine="544"/>
              <w:jc w:val="both"/>
            </w:pPr>
            <w:r>
              <w:rPr>
                <w:spacing w:val="-2"/>
              </w:rPr>
              <w:t>依法对电信和互联网等信息通信服务实行监管，承担互联网行业管理责任。督促电信企业和在</w:t>
            </w:r>
            <w:r>
              <w:rPr>
                <w:spacing w:val="12"/>
              </w:rPr>
              <w:t xml:space="preserve"> </w:t>
            </w:r>
            <w:r>
              <w:rPr>
                <w:spacing w:val="-2"/>
              </w:rPr>
              <w:t>线旅游经营者落实网络与信息安全管理责任，配合开展在线旅游网络环境和信息治理，配合处理违</w:t>
            </w:r>
            <w:r>
              <w:rPr>
                <w:spacing w:val="1"/>
              </w:rPr>
              <w:t xml:space="preserve"> </w:t>
            </w:r>
            <w:r>
              <w:rPr>
                <w:spacing w:val="-4"/>
              </w:rPr>
              <w:t>法违规涉旅网站、应用程序等。</w:t>
            </w:r>
          </w:p>
        </w:tc>
      </w:tr>
      <w:tr w14:paraId="07B41E54">
        <w:trPr>
          <w:trHeight w:val="1203" w:hRule="atLeast"/>
        </w:trPr>
        <w:tc>
          <w:tcPr>
            <w:tcW w:w="1590" w:type="dxa"/>
            <w:vMerge w:val="continue"/>
            <w:tcBorders>
              <w:top w:val="nil"/>
            </w:tcBorders>
            <w:vAlign w:val="top"/>
          </w:tcPr>
          <w:p w14:paraId="38090393">
            <w:pPr>
              <w:rPr>
                <w:rFonts w:ascii="Arial"/>
                <w:sz w:val="21"/>
              </w:rPr>
            </w:pPr>
          </w:p>
        </w:tc>
        <w:tc>
          <w:tcPr>
            <w:tcW w:w="623" w:type="dxa"/>
            <w:vAlign w:val="top"/>
          </w:tcPr>
          <w:p w14:paraId="0B816CB8">
            <w:pPr>
              <w:spacing w:line="319" w:lineRule="auto"/>
              <w:rPr>
                <w:rFonts w:ascii="Arial"/>
                <w:sz w:val="21"/>
              </w:rPr>
            </w:pPr>
          </w:p>
          <w:p w14:paraId="23B799B9">
            <w:pPr>
              <w:spacing w:line="555" w:lineRule="exact"/>
              <w:ind w:firstLine="215"/>
            </w:pPr>
            <w:r>
              <w:rPr>
                <w:position w:val="-11"/>
              </w:rPr>
              <w:drawing>
                <wp:inline distT="0" distB="0" distL="0" distR="0">
                  <wp:extent cx="163830" cy="352425"/>
                  <wp:effectExtent l="0" t="0" r="3810" b="13335"/>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0"/>
                          <a:stretch>
                            <a:fillRect/>
                          </a:stretch>
                        </pic:blipFill>
                        <pic:spPr>
                          <a:xfrm>
                            <a:off x="0" y="0"/>
                            <a:ext cx="164054" cy="352814"/>
                          </a:xfrm>
                          <a:prstGeom prst="rect">
                            <a:avLst/>
                          </a:prstGeom>
                        </pic:spPr>
                      </pic:pic>
                    </a:graphicData>
                  </a:graphic>
                </wp:inline>
              </w:drawing>
            </w:r>
          </w:p>
        </w:tc>
        <w:tc>
          <w:tcPr>
            <w:tcW w:w="12191" w:type="dxa"/>
            <w:vAlign w:val="top"/>
          </w:tcPr>
          <w:p w14:paraId="208AE583">
            <w:pPr>
              <w:pStyle w:val="10"/>
              <w:spacing w:before="41" w:line="253" w:lineRule="auto"/>
              <w:ind w:left="130" w:right="118" w:firstLine="572"/>
              <w:jc w:val="both"/>
            </w:pPr>
            <w:r>
              <w:rPr>
                <w:spacing w:val="11"/>
              </w:rPr>
              <w:t>加强互联网基础管理，做好网站备案真实性核验。督促属地在线旅游经营者切实落实网络</w:t>
            </w:r>
            <w:r>
              <w:rPr>
                <w:spacing w:val="13"/>
              </w:rPr>
              <w:t xml:space="preserve"> </w:t>
            </w:r>
            <w:r>
              <w:rPr>
                <w:spacing w:val="11"/>
              </w:rPr>
              <w:t>与信息安全管理责任，加强个人信息保护，依法配合文旅等部门对经其认定存在违法违规问题</w:t>
            </w:r>
            <w:r>
              <w:rPr>
                <w:spacing w:val="4"/>
              </w:rPr>
              <w:t xml:space="preserve"> </w:t>
            </w:r>
            <w:r>
              <w:rPr>
                <w:spacing w:val="9"/>
              </w:rPr>
              <w:t>的网站、应用程序进行处置。</w:t>
            </w:r>
          </w:p>
        </w:tc>
      </w:tr>
      <w:tr w14:paraId="248E8F27">
        <w:trPr>
          <w:trHeight w:val="1202" w:hRule="atLeast"/>
        </w:trPr>
        <w:tc>
          <w:tcPr>
            <w:tcW w:w="1590" w:type="dxa"/>
            <w:vMerge w:val="restart"/>
            <w:tcBorders>
              <w:bottom w:val="nil"/>
            </w:tcBorders>
            <w:vAlign w:val="top"/>
          </w:tcPr>
          <w:p w14:paraId="47C96E79">
            <w:pPr>
              <w:spacing w:line="259" w:lineRule="auto"/>
              <w:rPr>
                <w:rFonts w:ascii="Arial"/>
                <w:sz w:val="21"/>
              </w:rPr>
            </w:pPr>
          </w:p>
          <w:p w14:paraId="3AC6B44A">
            <w:pPr>
              <w:spacing w:line="260" w:lineRule="auto"/>
              <w:rPr>
                <w:rFonts w:ascii="Arial"/>
                <w:sz w:val="21"/>
              </w:rPr>
            </w:pPr>
          </w:p>
          <w:p w14:paraId="374D9018">
            <w:pPr>
              <w:spacing w:line="260" w:lineRule="auto"/>
              <w:rPr>
                <w:rFonts w:ascii="Arial"/>
                <w:sz w:val="21"/>
              </w:rPr>
            </w:pPr>
          </w:p>
          <w:p w14:paraId="6AB67C29">
            <w:pPr>
              <w:pStyle w:val="10"/>
              <w:spacing w:before="91" w:line="218" w:lineRule="auto"/>
              <w:ind w:left="126"/>
            </w:pPr>
            <w:r>
              <w:rPr>
                <w:rFonts w:hint="eastAsia"/>
                <w:b/>
                <w:bCs/>
                <w:spacing w:val="-6"/>
                <w:lang w:val="en-US" w:eastAsia="zh-CN"/>
              </w:rPr>
              <w:t>省</w:t>
            </w:r>
            <w:r>
              <w:rPr>
                <w:b/>
                <w:bCs/>
                <w:spacing w:val="-6"/>
              </w:rPr>
              <w:t>税务局</w:t>
            </w:r>
          </w:p>
        </w:tc>
        <w:tc>
          <w:tcPr>
            <w:tcW w:w="623" w:type="dxa"/>
            <w:vAlign w:val="top"/>
          </w:tcPr>
          <w:p w14:paraId="3C04773E">
            <w:pPr>
              <w:spacing w:line="333" w:lineRule="auto"/>
              <w:rPr>
                <w:rFonts w:ascii="Arial"/>
                <w:sz w:val="21"/>
              </w:rPr>
            </w:pPr>
          </w:p>
          <w:p w14:paraId="17A11AB3">
            <w:pPr>
              <w:spacing w:line="539" w:lineRule="exact"/>
              <w:ind w:firstLine="220"/>
            </w:pPr>
            <w:r>
              <w:rPr>
                <w:position w:val="-10"/>
              </w:rPr>
              <w:drawing>
                <wp:inline distT="0" distB="0" distL="0" distR="0">
                  <wp:extent cx="153670" cy="342265"/>
                  <wp:effectExtent l="0" t="0" r="13970" b="8255"/>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1"/>
                          <a:stretch>
                            <a:fillRect/>
                          </a:stretch>
                        </pic:blipFill>
                        <pic:spPr>
                          <a:xfrm>
                            <a:off x="0" y="0"/>
                            <a:ext cx="154296" cy="342359"/>
                          </a:xfrm>
                          <a:prstGeom prst="rect">
                            <a:avLst/>
                          </a:prstGeom>
                        </pic:spPr>
                      </pic:pic>
                    </a:graphicData>
                  </a:graphic>
                </wp:inline>
              </w:drawing>
            </w:r>
          </w:p>
        </w:tc>
        <w:tc>
          <w:tcPr>
            <w:tcW w:w="12191" w:type="dxa"/>
            <w:vAlign w:val="top"/>
          </w:tcPr>
          <w:p w14:paraId="6C3DEACA">
            <w:pPr>
              <w:pStyle w:val="10"/>
              <w:spacing w:before="40" w:line="253" w:lineRule="auto"/>
              <w:ind w:left="115" w:right="103" w:firstLine="554"/>
              <w:jc w:val="both"/>
            </w:pPr>
            <w:r>
              <w:rPr>
                <w:spacing w:val="-2"/>
              </w:rPr>
              <w:t>依法承担组织实施法律法规规定的税、费征收管理责任。依法查处旅游经营者偷逃税款、虚开</w:t>
            </w:r>
            <w:r>
              <w:rPr>
                <w:spacing w:val="11"/>
              </w:rPr>
              <w:t xml:space="preserve"> </w:t>
            </w:r>
            <w:r>
              <w:rPr>
                <w:spacing w:val="-2"/>
              </w:rPr>
              <w:t>发票等税收违法行为，对涉嫌犯罪的依法移交司法机关处理。协助查处旅游经营者做假账等违反税</w:t>
            </w:r>
            <w:r>
              <w:rPr>
                <w:spacing w:val="12"/>
              </w:rPr>
              <w:t xml:space="preserve"> </w:t>
            </w:r>
            <w:r>
              <w:rPr>
                <w:spacing w:val="-6"/>
              </w:rPr>
              <w:t>法规定的行为。</w:t>
            </w:r>
          </w:p>
        </w:tc>
      </w:tr>
      <w:tr w14:paraId="722F3211">
        <w:trPr>
          <w:trHeight w:val="897" w:hRule="atLeast"/>
        </w:trPr>
        <w:tc>
          <w:tcPr>
            <w:tcW w:w="1590" w:type="dxa"/>
            <w:vMerge w:val="continue"/>
            <w:tcBorders>
              <w:top w:val="nil"/>
            </w:tcBorders>
            <w:vAlign w:val="top"/>
          </w:tcPr>
          <w:p w14:paraId="19162D30">
            <w:pPr>
              <w:rPr>
                <w:rFonts w:ascii="Arial"/>
                <w:sz w:val="21"/>
              </w:rPr>
            </w:pPr>
          </w:p>
        </w:tc>
        <w:tc>
          <w:tcPr>
            <w:tcW w:w="623" w:type="dxa"/>
            <w:vAlign w:val="top"/>
          </w:tcPr>
          <w:p w14:paraId="16E970D4">
            <w:pPr>
              <w:spacing w:before="169" w:line="555" w:lineRule="exact"/>
              <w:ind w:firstLine="215"/>
            </w:pPr>
            <w:r>
              <w:rPr>
                <w:position w:val="-11"/>
              </w:rPr>
              <w:drawing>
                <wp:inline distT="0" distB="0" distL="0" distR="0">
                  <wp:extent cx="163830" cy="352425"/>
                  <wp:effectExtent l="0" t="0" r="3810" b="13335"/>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2"/>
                          <a:stretch>
                            <a:fillRect/>
                          </a:stretch>
                        </pic:blipFill>
                        <pic:spPr>
                          <a:xfrm>
                            <a:off x="0" y="0"/>
                            <a:ext cx="164054" cy="352814"/>
                          </a:xfrm>
                          <a:prstGeom prst="rect">
                            <a:avLst/>
                          </a:prstGeom>
                        </pic:spPr>
                      </pic:pic>
                    </a:graphicData>
                  </a:graphic>
                </wp:inline>
              </w:drawing>
            </w:r>
          </w:p>
        </w:tc>
        <w:tc>
          <w:tcPr>
            <w:tcW w:w="12191" w:type="dxa"/>
            <w:vAlign w:val="top"/>
          </w:tcPr>
          <w:p w14:paraId="058F20FC">
            <w:pPr>
              <w:pStyle w:val="10"/>
              <w:spacing w:before="289" w:line="218" w:lineRule="auto"/>
              <w:ind w:left="706"/>
            </w:pPr>
            <w:r>
              <w:rPr>
                <w:spacing w:val="10"/>
              </w:rPr>
              <w:t>指导旅游企业自觉依法纳税。</w:t>
            </w:r>
          </w:p>
        </w:tc>
      </w:tr>
      <w:tr w14:paraId="4EA5C01B">
        <w:trPr>
          <w:trHeight w:val="808" w:hRule="atLeast"/>
        </w:trPr>
        <w:tc>
          <w:tcPr>
            <w:tcW w:w="1590" w:type="dxa"/>
            <w:vMerge w:val="restart"/>
            <w:tcBorders>
              <w:bottom w:val="nil"/>
            </w:tcBorders>
            <w:vAlign w:val="top"/>
          </w:tcPr>
          <w:p w14:paraId="3952A290">
            <w:pPr>
              <w:spacing w:line="329" w:lineRule="auto"/>
              <w:rPr>
                <w:rFonts w:ascii="Arial"/>
                <w:sz w:val="21"/>
              </w:rPr>
            </w:pPr>
          </w:p>
          <w:p w14:paraId="30F1A10B">
            <w:pPr>
              <w:pStyle w:val="10"/>
              <w:spacing w:before="91" w:line="218" w:lineRule="auto"/>
              <w:ind w:left="126"/>
            </w:pPr>
            <w:r>
              <w:rPr>
                <w:rFonts w:hint="eastAsia"/>
                <w:b/>
                <w:bCs/>
                <w:spacing w:val="-6"/>
                <w:lang w:val="en-US" w:eastAsia="zh-CN"/>
              </w:rPr>
              <w:t>民航吉林监管局</w:t>
            </w:r>
          </w:p>
        </w:tc>
        <w:tc>
          <w:tcPr>
            <w:tcW w:w="623" w:type="dxa"/>
            <w:vAlign w:val="top"/>
          </w:tcPr>
          <w:p w14:paraId="56C80D94">
            <w:pPr>
              <w:spacing w:before="141" w:line="540" w:lineRule="exact"/>
              <w:ind w:firstLine="220"/>
            </w:pPr>
            <w:r>
              <w:rPr>
                <w:position w:val="-10"/>
              </w:rPr>
              <w:drawing>
                <wp:inline distT="0" distB="0" distL="0" distR="0">
                  <wp:extent cx="153670" cy="342265"/>
                  <wp:effectExtent l="0" t="0" r="13970" b="825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3"/>
                          <a:stretch>
                            <a:fillRect/>
                          </a:stretch>
                        </pic:blipFill>
                        <pic:spPr>
                          <a:xfrm>
                            <a:off x="0" y="0"/>
                            <a:ext cx="154296" cy="342359"/>
                          </a:xfrm>
                          <a:prstGeom prst="rect">
                            <a:avLst/>
                          </a:prstGeom>
                        </pic:spPr>
                      </pic:pic>
                    </a:graphicData>
                  </a:graphic>
                </wp:inline>
              </w:drawing>
            </w:r>
          </w:p>
        </w:tc>
        <w:tc>
          <w:tcPr>
            <w:tcW w:w="12191" w:type="dxa"/>
            <w:vAlign w:val="top"/>
          </w:tcPr>
          <w:p w14:paraId="56ED5398">
            <w:pPr>
              <w:pStyle w:val="10"/>
              <w:spacing w:before="247" w:line="216" w:lineRule="auto"/>
              <w:ind w:left="675"/>
            </w:pPr>
            <w:r>
              <w:rPr>
                <w:spacing w:val="-2"/>
              </w:rPr>
              <w:t>按授权对辖区内民用航空运输和通用航空市场秩序实施监督管理。</w:t>
            </w:r>
          </w:p>
        </w:tc>
      </w:tr>
      <w:tr w14:paraId="57C3B958">
        <w:trPr>
          <w:trHeight w:val="822" w:hRule="atLeast"/>
        </w:trPr>
        <w:tc>
          <w:tcPr>
            <w:tcW w:w="1590" w:type="dxa"/>
            <w:vMerge w:val="continue"/>
            <w:tcBorders>
              <w:top w:val="nil"/>
            </w:tcBorders>
            <w:vAlign w:val="top"/>
          </w:tcPr>
          <w:p w14:paraId="60F88802">
            <w:pPr>
              <w:rPr>
                <w:rFonts w:ascii="Arial"/>
                <w:sz w:val="21"/>
              </w:rPr>
            </w:pPr>
          </w:p>
        </w:tc>
        <w:tc>
          <w:tcPr>
            <w:tcW w:w="623" w:type="dxa"/>
            <w:vAlign w:val="top"/>
          </w:tcPr>
          <w:p w14:paraId="0D6E0958">
            <w:pPr>
              <w:spacing w:before="129" w:line="556" w:lineRule="exact"/>
              <w:ind w:firstLine="215"/>
            </w:pPr>
            <w:r>
              <w:rPr>
                <w:position w:val="-11"/>
              </w:rPr>
              <w:drawing>
                <wp:inline distT="0" distB="0" distL="0" distR="0">
                  <wp:extent cx="163830" cy="352425"/>
                  <wp:effectExtent l="0" t="0" r="3810" b="1333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4"/>
                          <a:stretch>
                            <a:fillRect/>
                          </a:stretch>
                        </pic:blipFill>
                        <pic:spPr>
                          <a:xfrm>
                            <a:off x="0" y="0"/>
                            <a:ext cx="164054" cy="352814"/>
                          </a:xfrm>
                          <a:prstGeom prst="rect">
                            <a:avLst/>
                          </a:prstGeom>
                        </pic:spPr>
                      </pic:pic>
                    </a:graphicData>
                  </a:graphic>
                </wp:inline>
              </w:drawing>
            </w:r>
          </w:p>
        </w:tc>
        <w:tc>
          <w:tcPr>
            <w:tcW w:w="12191" w:type="dxa"/>
            <w:vAlign w:val="top"/>
          </w:tcPr>
          <w:p w14:paraId="1E0DE13B">
            <w:pPr>
              <w:pStyle w:val="10"/>
              <w:spacing w:before="252" w:line="217" w:lineRule="auto"/>
              <w:ind w:left="674"/>
            </w:pPr>
            <w:r>
              <w:t>督促相关企业及时处理旅客投诉，切实维护民</w:t>
            </w:r>
            <w:r>
              <w:rPr>
                <w:spacing w:val="-1"/>
              </w:rPr>
              <w:t>航消费者权益。</w:t>
            </w:r>
          </w:p>
        </w:tc>
      </w:tr>
    </w:tbl>
    <w:p w14:paraId="25878254">
      <w:pPr>
        <w:rPr>
          <w:rFonts w:ascii="Arial"/>
          <w:sz w:val="21"/>
        </w:rPr>
      </w:pPr>
    </w:p>
    <w:p w14:paraId="431D314D">
      <w:pPr>
        <w:widowControl/>
        <w:jc w:val="left"/>
        <w:rPr>
          <w:rFonts w:hint="default" w:ascii="仿宋_GB2312" w:hAnsi="仿宋_GB2312" w:eastAsia="仿宋_GB2312" w:cs="仿宋_GB2312"/>
          <w:color w:val="000000"/>
          <w:kern w:val="0"/>
          <w:sz w:val="32"/>
          <w:szCs w:val="32"/>
          <w:lang w:val="en-US" w:eastAsia="zh-CN" w:bidi="ar"/>
        </w:rPr>
      </w:pPr>
    </w:p>
    <w:p w14:paraId="6AAD18F3">
      <w:pPr>
        <w:rPr>
          <w:rFonts w:hint="default" w:ascii="仿宋_GB2312" w:hAnsi="仿宋_GB2312" w:eastAsia="仿宋_GB2312" w:cs="仿宋_GB2312"/>
          <w:color w:val="000000"/>
          <w:kern w:val="0"/>
          <w:sz w:val="32"/>
          <w:szCs w:val="32"/>
          <w:lang w:val="en-US" w:eastAsia="zh-CN" w:bidi="ar"/>
        </w:rPr>
      </w:pPr>
    </w:p>
    <w:p w14:paraId="7B02B85B">
      <w:pPr>
        <w:sectPr>
          <w:footerReference r:id="rId9" w:type="default"/>
          <w:pgSz w:w="16838" w:h="11906" w:orient="landscape"/>
          <w:pgMar w:top="1418" w:right="1588" w:bottom="1418" w:left="1588" w:header="851" w:footer="992" w:gutter="0"/>
          <w:cols w:space="425" w:num="1"/>
          <w:docGrid w:type="lines" w:linePitch="312" w:charSpace="0"/>
        </w:sectPr>
      </w:pPr>
    </w:p>
    <w:p w14:paraId="60FF9173">
      <w:pPr>
        <w:widowControl/>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附件3</w:t>
      </w:r>
    </w:p>
    <w:p w14:paraId="3C783F68">
      <w:pPr>
        <w:spacing w:line="3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长春市旅游市场综合治理联动机制联络表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8"/>
        <w:gridCol w:w="1488"/>
        <w:gridCol w:w="1296"/>
        <w:gridCol w:w="1395"/>
        <w:gridCol w:w="1705"/>
      </w:tblGrid>
      <w:tr w14:paraId="47AF38AF">
        <w:tc>
          <w:tcPr>
            <w:tcW w:w="2638" w:type="dxa"/>
          </w:tcPr>
          <w:p w14:paraId="3556465C">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单位</w:t>
            </w:r>
          </w:p>
        </w:tc>
        <w:tc>
          <w:tcPr>
            <w:tcW w:w="1488" w:type="dxa"/>
          </w:tcPr>
          <w:p w14:paraId="43790E1B">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联系人</w:t>
            </w:r>
          </w:p>
        </w:tc>
        <w:tc>
          <w:tcPr>
            <w:tcW w:w="1296" w:type="dxa"/>
          </w:tcPr>
          <w:p w14:paraId="3F03336B">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职务</w:t>
            </w:r>
          </w:p>
        </w:tc>
        <w:tc>
          <w:tcPr>
            <w:tcW w:w="1395" w:type="dxa"/>
          </w:tcPr>
          <w:p w14:paraId="1088596B">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电话</w:t>
            </w:r>
          </w:p>
        </w:tc>
        <w:tc>
          <w:tcPr>
            <w:tcW w:w="1705" w:type="dxa"/>
          </w:tcPr>
          <w:p w14:paraId="3B6D9798">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微信号</w:t>
            </w:r>
          </w:p>
        </w:tc>
      </w:tr>
      <w:tr w14:paraId="1FA797A1">
        <w:tc>
          <w:tcPr>
            <w:tcW w:w="2638" w:type="dxa"/>
          </w:tcPr>
          <w:p w14:paraId="7EA06D5A">
            <w:pPr>
              <w:widowControl/>
              <w:jc w:val="left"/>
              <w:rPr>
                <w:rFonts w:ascii="仿宋_GB2312" w:hAnsi="仿宋_GB2312" w:eastAsia="仿宋_GB2312" w:cs="仿宋_GB2312"/>
                <w:color w:val="000000"/>
                <w:kern w:val="0"/>
                <w:szCs w:val="21"/>
                <w:lang w:bidi="ar"/>
              </w:rPr>
            </w:pPr>
          </w:p>
        </w:tc>
        <w:tc>
          <w:tcPr>
            <w:tcW w:w="1488" w:type="dxa"/>
          </w:tcPr>
          <w:p w14:paraId="17FF7E4E">
            <w:pPr>
              <w:widowControl/>
              <w:jc w:val="left"/>
              <w:rPr>
                <w:rFonts w:ascii="仿宋_GB2312" w:hAnsi="仿宋_GB2312" w:eastAsia="仿宋_GB2312" w:cs="仿宋_GB2312"/>
                <w:color w:val="000000"/>
                <w:kern w:val="0"/>
                <w:szCs w:val="21"/>
                <w:lang w:bidi="ar"/>
              </w:rPr>
            </w:pPr>
          </w:p>
        </w:tc>
        <w:tc>
          <w:tcPr>
            <w:tcW w:w="1296" w:type="dxa"/>
          </w:tcPr>
          <w:p w14:paraId="29DCF5BB">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分管局长</w:t>
            </w:r>
          </w:p>
        </w:tc>
        <w:tc>
          <w:tcPr>
            <w:tcW w:w="1395" w:type="dxa"/>
          </w:tcPr>
          <w:p w14:paraId="7505DD84">
            <w:pPr>
              <w:widowControl/>
              <w:jc w:val="left"/>
              <w:rPr>
                <w:rFonts w:ascii="仿宋_GB2312" w:hAnsi="仿宋_GB2312" w:eastAsia="仿宋_GB2312" w:cs="仿宋_GB2312"/>
                <w:color w:val="000000"/>
                <w:kern w:val="0"/>
                <w:szCs w:val="21"/>
                <w:lang w:bidi="ar"/>
              </w:rPr>
            </w:pPr>
          </w:p>
        </w:tc>
        <w:tc>
          <w:tcPr>
            <w:tcW w:w="1705" w:type="dxa"/>
          </w:tcPr>
          <w:p w14:paraId="4EBDB644">
            <w:pPr>
              <w:widowControl/>
              <w:jc w:val="left"/>
              <w:rPr>
                <w:rFonts w:ascii="仿宋_GB2312" w:hAnsi="仿宋_GB2312" w:eastAsia="仿宋_GB2312" w:cs="仿宋_GB2312"/>
                <w:color w:val="000000"/>
                <w:kern w:val="0"/>
                <w:szCs w:val="21"/>
                <w:lang w:bidi="ar"/>
              </w:rPr>
            </w:pPr>
          </w:p>
        </w:tc>
      </w:tr>
      <w:tr w14:paraId="00CD3B91">
        <w:tc>
          <w:tcPr>
            <w:tcW w:w="2638" w:type="dxa"/>
          </w:tcPr>
          <w:p w14:paraId="69A302D7">
            <w:pPr>
              <w:widowControl/>
              <w:jc w:val="left"/>
              <w:rPr>
                <w:rFonts w:ascii="仿宋_GB2312" w:hAnsi="仿宋_GB2312" w:eastAsia="仿宋_GB2312" w:cs="仿宋_GB2312"/>
                <w:color w:val="000000"/>
                <w:kern w:val="0"/>
                <w:szCs w:val="21"/>
                <w:lang w:bidi="ar"/>
              </w:rPr>
            </w:pPr>
          </w:p>
        </w:tc>
        <w:tc>
          <w:tcPr>
            <w:tcW w:w="1488" w:type="dxa"/>
          </w:tcPr>
          <w:p w14:paraId="20F06ECE">
            <w:pPr>
              <w:widowControl/>
              <w:jc w:val="left"/>
              <w:rPr>
                <w:rFonts w:ascii="仿宋_GB2312" w:hAnsi="仿宋_GB2312" w:eastAsia="仿宋_GB2312" w:cs="仿宋_GB2312"/>
                <w:color w:val="000000"/>
                <w:kern w:val="0"/>
                <w:szCs w:val="21"/>
                <w:lang w:bidi="ar"/>
              </w:rPr>
            </w:pPr>
          </w:p>
        </w:tc>
        <w:tc>
          <w:tcPr>
            <w:tcW w:w="1296" w:type="dxa"/>
          </w:tcPr>
          <w:p w14:paraId="41EC809E">
            <w:pPr>
              <w:widowControl/>
              <w:jc w:val="left"/>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负责人员</w:t>
            </w:r>
          </w:p>
        </w:tc>
        <w:tc>
          <w:tcPr>
            <w:tcW w:w="1395" w:type="dxa"/>
          </w:tcPr>
          <w:p w14:paraId="60B11E76">
            <w:pPr>
              <w:widowControl/>
              <w:jc w:val="left"/>
              <w:rPr>
                <w:rFonts w:ascii="仿宋_GB2312" w:hAnsi="仿宋_GB2312" w:eastAsia="仿宋_GB2312" w:cs="仿宋_GB2312"/>
                <w:color w:val="000000"/>
                <w:kern w:val="0"/>
                <w:szCs w:val="21"/>
                <w:lang w:bidi="ar"/>
              </w:rPr>
            </w:pPr>
          </w:p>
        </w:tc>
        <w:tc>
          <w:tcPr>
            <w:tcW w:w="1705" w:type="dxa"/>
          </w:tcPr>
          <w:p w14:paraId="303B31CB">
            <w:pPr>
              <w:widowControl/>
              <w:jc w:val="left"/>
              <w:rPr>
                <w:rFonts w:ascii="仿宋_GB2312" w:hAnsi="仿宋_GB2312" w:eastAsia="仿宋_GB2312" w:cs="仿宋_GB2312"/>
                <w:color w:val="000000"/>
                <w:kern w:val="0"/>
                <w:szCs w:val="21"/>
                <w:lang w:bidi="ar"/>
              </w:rPr>
            </w:pPr>
          </w:p>
        </w:tc>
      </w:tr>
    </w:tbl>
    <w:p w14:paraId="1FE91F7B"/>
    <w:p w14:paraId="553C8369"/>
    <w:sectPr>
      <w:pgSz w:w="11906" w:h="16838"/>
      <w:pgMar w:top="1588" w:right="1418" w:bottom="158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方正楷体_GBK">
    <w:altName w:val="汉仪楷体简"/>
    <w:panose1 w:val="00000000000000000000"/>
    <w:charset w:val="86"/>
    <w:family w:val="auto"/>
    <w:pitch w:val="default"/>
    <w:sig w:usb0="00000000" w:usb1="00000000" w:usb2="00000000" w:usb3="00000000" w:csb0="00040000" w:csb1="00000000"/>
  </w:font>
  <w:font w:name="CESI仿宋-GB2312">
    <w:altName w:val="方正仿宋_GBK"/>
    <w:panose1 w:val="00000000000000000000"/>
    <w:charset w:val="86"/>
    <w:family w:val="auto"/>
    <w:pitch w:val="default"/>
    <w:sig w:usb0="00000000" w:usb1="00000000" w:usb2="00000010" w:usb3="00000000" w:csb0="0004000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儷宋 Pro">
    <w:panose1 w:val="02020300000000000000"/>
    <w:charset w:val="88"/>
    <w:family w:val="auto"/>
    <w:pitch w:val="default"/>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7A44">
    <w:pPr>
      <w:spacing w:line="237" w:lineRule="auto"/>
      <w:ind w:left="8361"/>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A0A8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1A0A8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1537C">
    <w:pPr>
      <w:spacing w:line="237" w:lineRule="auto"/>
      <w:ind w:left="8371"/>
      <w:rPr>
        <w:rFonts w:ascii="微软雅黑" w:hAnsi="微软雅黑" w:eastAsia="微软雅黑" w:cs="微软雅黑"/>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7D62D">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7A7D62D">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D654">
    <w:pPr>
      <w:spacing w:before="1" w:line="213" w:lineRule="auto"/>
      <w:ind w:left="12046"/>
      <w:rPr>
        <w:rFonts w:ascii="微软雅黑" w:hAnsi="微软雅黑" w:eastAsia="微软雅黑" w:cs="微软雅黑"/>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9DB9A">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A19DB9A">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6FC2">
    <w:pPr>
      <w:spacing w:line="215" w:lineRule="auto"/>
      <w:ind w:left="12046"/>
      <w:rPr>
        <w:rFonts w:ascii="微软雅黑" w:hAnsi="微软雅黑" w:eastAsia="微软雅黑" w:cs="微软雅黑"/>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192DC">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BA192DC">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FF69">
    <w:pPr>
      <w:spacing w:line="215" w:lineRule="auto"/>
      <w:ind w:left="12046"/>
      <w:rPr>
        <w:rFonts w:ascii="微软雅黑" w:hAnsi="微软雅黑" w:eastAsia="微软雅黑" w:cs="微软雅黑"/>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8B07F">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1E8B07F">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6996">
    <w:pPr>
      <w:spacing w:before="1" w:line="213" w:lineRule="auto"/>
      <w:ind w:left="12046"/>
      <w:rPr>
        <w:rFonts w:ascii="微软雅黑" w:hAnsi="微软雅黑" w:eastAsia="微软雅黑" w:cs="微软雅黑"/>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3B201">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103B201">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C5D8">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A7786">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86A7786">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E136D"/>
    <w:rsid w:val="1D927FE7"/>
    <w:rsid w:val="45C47AFB"/>
    <w:rsid w:val="5CAC0E83"/>
    <w:rsid w:val="5D0D054A"/>
    <w:rsid w:val="77F7C610"/>
    <w:rsid w:val="7A2E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2025-10-24T15:50:00Z</dcterms:created>
  <dc:creator>Administrator</dc:creator>
  <cp:lastModifiedBy>孙义雪</cp:lastModifiedBy>
  <dcterms:modified xsi:type="dcterms:W3CDTF">2025-10-24T16:18:30Z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60FF3428AA1378225636FB68F8D0FE3E_43</vt:lpwstr>
  </property>
  <property fmtid="{D5CDD505-2E9C-101B-9397-08002B2CF9AE}" pid="4" name="KSOTemplateDocerSaveRecord">
    <vt:lpwstr>eyJoZGlkIjoiMjY4MjZhYWY3ODI2OTYxZTc5OTQxOTdmNTAzMmMyOTkiLCJ1c2VySWQiOiI2MDA5Nzc4MDMifQ==</vt:lpwstr>
  </property>
</Properties>
</file>